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989C5" w14:textId="1EEE12CC" w:rsidR="000143AC" w:rsidRDefault="000143AC" w:rsidP="00CE18B5">
      <w:pPr>
        <w:pStyle w:val="Standardtext"/>
        <w:spacing w:after="360"/>
        <w:ind w:left="0" w:right="83"/>
        <w:jc w:val="left"/>
        <w:rPr>
          <w:b/>
          <w:sz w:val="28"/>
        </w:rPr>
      </w:pPr>
      <w:r>
        <w:rPr>
          <w:b/>
          <w:sz w:val="28"/>
        </w:rPr>
        <w:t>PRESSEMELDUNG</w:t>
      </w:r>
    </w:p>
    <w:p w14:paraId="5BCAB3B2" w14:textId="00B45E12" w:rsidR="00D252BC" w:rsidRPr="003A7CAF" w:rsidRDefault="000143AC" w:rsidP="00CE18B5">
      <w:pPr>
        <w:pStyle w:val="Standardtext"/>
        <w:spacing w:after="360"/>
        <w:ind w:left="0" w:right="83"/>
        <w:jc w:val="left"/>
        <w:rPr>
          <w:b/>
          <w:sz w:val="28"/>
        </w:rPr>
      </w:pPr>
      <w:r>
        <w:rPr>
          <w:b/>
          <w:sz w:val="28"/>
        </w:rPr>
        <w:t>2</w:t>
      </w:r>
      <w:r w:rsidR="00E012ED" w:rsidRPr="003A7CAF">
        <w:rPr>
          <w:b/>
          <w:sz w:val="28"/>
        </w:rPr>
        <w:t>G: kostenlose Lastganganaly</w:t>
      </w:r>
      <w:r>
        <w:rPr>
          <w:b/>
          <w:sz w:val="28"/>
        </w:rPr>
        <w:t>se identifiziert BHKW-Potenzial</w:t>
      </w:r>
    </w:p>
    <w:p w14:paraId="0A5CA004" w14:textId="14F64B08" w:rsidR="00D252BC" w:rsidRPr="003A7CAF" w:rsidRDefault="0011675D" w:rsidP="00D252BC">
      <w:pPr>
        <w:pStyle w:val="Standardtext"/>
        <w:spacing w:after="600"/>
        <w:ind w:left="0" w:right="1075"/>
        <w:jc w:val="left"/>
        <w:rPr>
          <w:b/>
        </w:rPr>
      </w:pPr>
      <w:r w:rsidRPr="003A7CAF">
        <w:rPr>
          <w:b/>
        </w:rPr>
        <w:t>BH</w:t>
      </w:r>
      <w:r w:rsidR="0080150C" w:rsidRPr="003A7CAF">
        <w:rPr>
          <w:b/>
        </w:rPr>
        <w:t xml:space="preserve">KW-Hersteller 2G </w:t>
      </w:r>
      <w:proofErr w:type="spellStart"/>
      <w:r w:rsidR="0080150C" w:rsidRPr="003A7CAF">
        <w:rPr>
          <w:b/>
        </w:rPr>
        <w:t>Energy</w:t>
      </w:r>
      <w:proofErr w:type="spellEnd"/>
      <w:r w:rsidR="00E012ED" w:rsidRPr="003A7CAF">
        <w:rPr>
          <w:b/>
        </w:rPr>
        <w:t xml:space="preserve"> bietet schnelle Vorklärung der Wirtschaftlichkeit von BHKW-Investitionen mit rechnerbasiertem Tool</w:t>
      </w:r>
    </w:p>
    <w:p w14:paraId="2F98D698" w14:textId="5C47D84F" w:rsidR="001E2028" w:rsidRPr="003A7CAF" w:rsidRDefault="000A7E80" w:rsidP="00F655B6">
      <w:pPr>
        <w:spacing w:before="100" w:beforeAutospacing="1" w:after="100" w:afterAutospacing="1" w:line="240" w:lineRule="auto"/>
        <w:ind w:left="0"/>
        <w:jc w:val="both"/>
        <w:rPr>
          <w:rFonts w:ascii="Noto Sans" w:eastAsia="Times New Roman" w:hAnsi="Noto Sans" w:cs="Arial"/>
          <w:color w:val="000000" w:themeColor="text1"/>
          <w:szCs w:val="20"/>
          <w:lang w:eastAsia="de-DE"/>
        </w:rPr>
      </w:pPr>
      <w:proofErr w:type="spellStart"/>
      <w:r>
        <w:rPr>
          <w:rFonts w:ascii="Noto Sans" w:eastAsia="Times New Roman" w:hAnsi="Noto Sans" w:cs="Arial"/>
          <w:color w:val="000000" w:themeColor="text1"/>
          <w:szCs w:val="20"/>
          <w:lang w:eastAsia="de-DE"/>
        </w:rPr>
        <w:t>Heek</w:t>
      </w:r>
      <w:proofErr w:type="spellEnd"/>
      <w:r>
        <w:rPr>
          <w:rFonts w:ascii="Noto Sans" w:eastAsia="Times New Roman" w:hAnsi="Noto Sans" w:cs="Arial"/>
          <w:color w:val="000000" w:themeColor="text1"/>
          <w:szCs w:val="20"/>
          <w:lang w:eastAsia="de-DE"/>
        </w:rPr>
        <w:t>, 19</w:t>
      </w:r>
      <w:r w:rsidR="00D252BC" w:rsidRPr="003A7CAF">
        <w:rPr>
          <w:rFonts w:ascii="Noto Sans" w:eastAsia="Times New Roman" w:hAnsi="Noto Sans" w:cs="Arial"/>
          <w:color w:val="000000" w:themeColor="text1"/>
          <w:szCs w:val="20"/>
          <w:lang w:eastAsia="de-DE"/>
        </w:rPr>
        <w:t>.</w:t>
      </w:r>
      <w:r w:rsidR="00E012ED" w:rsidRPr="003A7CAF">
        <w:rPr>
          <w:rFonts w:ascii="Noto Sans" w:eastAsia="Times New Roman" w:hAnsi="Noto Sans" w:cs="Arial"/>
          <w:color w:val="000000" w:themeColor="text1"/>
          <w:szCs w:val="20"/>
          <w:lang w:eastAsia="de-DE"/>
        </w:rPr>
        <w:t>06</w:t>
      </w:r>
      <w:r w:rsidR="00523F66" w:rsidRPr="003A7CAF">
        <w:rPr>
          <w:rFonts w:ascii="Noto Sans" w:eastAsia="Times New Roman" w:hAnsi="Noto Sans" w:cs="Arial"/>
          <w:color w:val="000000" w:themeColor="text1"/>
          <w:szCs w:val="20"/>
          <w:lang w:eastAsia="de-DE"/>
        </w:rPr>
        <w:t>.2017</w:t>
      </w:r>
      <w:r w:rsidR="00D252BC" w:rsidRPr="003A7CAF">
        <w:rPr>
          <w:rFonts w:ascii="Noto Sans" w:eastAsia="Times New Roman" w:hAnsi="Noto Sans" w:cs="Arial"/>
          <w:color w:val="000000" w:themeColor="text1"/>
          <w:szCs w:val="20"/>
          <w:lang w:eastAsia="de-DE"/>
        </w:rPr>
        <w:t xml:space="preserve"> – </w:t>
      </w:r>
      <w:r w:rsidR="00FF1B09" w:rsidRPr="003A7CAF">
        <w:rPr>
          <w:rFonts w:ascii="Noto Sans" w:eastAsia="Times New Roman" w:hAnsi="Noto Sans" w:cs="Arial"/>
          <w:color w:val="000000" w:themeColor="text1"/>
          <w:szCs w:val="20"/>
          <w:lang w:eastAsia="de-DE"/>
        </w:rPr>
        <w:t>Für eine</w:t>
      </w:r>
      <w:r w:rsidR="00E012ED" w:rsidRPr="003A7CAF">
        <w:rPr>
          <w:rFonts w:ascii="Noto Sans" w:eastAsia="Times New Roman" w:hAnsi="Noto Sans" w:cs="Arial"/>
          <w:color w:val="000000" w:themeColor="text1"/>
          <w:szCs w:val="20"/>
          <w:lang w:eastAsia="de-DE"/>
        </w:rPr>
        <w:t xml:space="preserve"> schnelle Vorklärung der Wirtschaftlichkeit v</w:t>
      </w:r>
      <w:r w:rsidR="004D37A0" w:rsidRPr="003A7CAF">
        <w:rPr>
          <w:rFonts w:ascii="Noto Sans" w:eastAsia="Times New Roman" w:hAnsi="Noto Sans" w:cs="Arial"/>
          <w:color w:val="000000" w:themeColor="text1"/>
          <w:szCs w:val="20"/>
          <w:lang w:eastAsia="de-DE"/>
        </w:rPr>
        <w:t>on</w:t>
      </w:r>
      <w:r w:rsidR="00E012ED" w:rsidRPr="003A7CAF">
        <w:rPr>
          <w:rFonts w:ascii="Noto Sans" w:eastAsia="Times New Roman" w:hAnsi="Noto Sans" w:cs="Arial"/>
          <w:color w:val="000000" w:themeColor="text1"/>
          <w:szCs w:val="20"/>
          <w:lang w:eastAsia="de-DE"/>
        </w:rPr>
        <w:t xml:space="preserve"> Investitionen in Blockheizkraftwerke (BHKW)</w:t>
      </w:r>
      <w:r w:rsidR="004D37A0" w:rsidRPr="003A7CAF">
        <w:rPr>
          <w:rFonts w:ascii="Noto Sans" w:eastAsia="Times New Roman" w:hAnsi="Noto Sans" w:cs="Arial"/>
          <w:color w:val="000000" w:themeColor="text1"/>
          <w:szCs w:val="20"/>
          <w:lang w:eastAsia="de-DE"/>
        </w:rPr>
        <w:t xml:space="preserve"> </w:t>
      </w:r>
      <w:r w:rsidR="00FF1B09" w:rsidRPr="003A7CAF">
        <w:rPr>
          <w:rFonts w:ascii="Noto Sans" w:eastAsia="Times New Roman" w:hAnsi="Noto Sans" w:cs="Arial"/>
          <w:color w:val="000000" w:themeColor="text1"/>
          <w:szCs w:val="20"/>
          <w:lang w:eastAsia="de-DE"/>
        </w:rPr>
        <w:t xml:space="preserve">bietet </w:t>
      </w:r>
      <w:r w:rsidR="004D37A0" w:rsidRPr="003A7CAF">
        <w:rPr>
          <w:rFonts w:ascii="Noto Sans" w:eastAsia="Times New Roman" w:hAnsi="Noto Sans" w:cs="Arial"/>
          <w:color w:val="000000" w:themeColor="text1"/>
          <w:szCs w:val="20"/>
          <w:lang w:eastAsia="de-DE"/>
        </w:rPr>
        <w:t xml:space="preserve">der BHKW-Hersteller 2G </w:t>
      </w:r>
      <w:proofErr w:type="spellStart"/>
      <w:r w:rsidR="004D37A0" w:rsidRPr="003A7CAF">
        <w:rPr>
          <w:rFonts w:ascii="Noto Sans" w:eastAsia="Times New Roman" w:hAnsi="Noto Sans" w:cs="Arial"/>
          <w:color w:val="000000" w:themeColor="text1"/>
          <w:szCs w:val="20"/>
          <w:lang w:eastAsia="de-DE"/>
        </w:rPr>
        <w:t>Energy</w:t>
      </w:r>
      <w:proofErr w:type="spellEnd"/>
      <w:r w:rsidR="004D37A0" w:rsidRPr="003A7CAF">
        <w:rPr>
          <w:rFonts w:ascii="Noto Sans" w:eastAsia="Times New Roman" w:hAnsi="Noto Sans" w:cs="Arial"/>
          <w:color w:val="000000" w:themeColor="text1"/>
          <w:szCs w:val="20"/>
          <w:lang w:eastAsia="de-DE"/>
        </w:rPr>
        <w:t xml:space="preserve"> AG in </w:t>
      </w:r>
      <w:proofErr w:type="spellStart"/>
      <w:r w:rsidR="004D37A0" w:rsidRPr="003A7CAF">
        <w:rPr>
          <w:rFonts w:ascii="Noto Sans" w:eastAsia="Times New Roman" w:hAnsi="Noto Sans" w:cs="Arial"/>
          <w:color w:val="000000" w:themeColor="text1"/>
          <w:szCs w:val="20"/>
          <w:lang w:eastAsia="de-DE"/>
        </w:rPr>
        <w:t>Heek</w:t>
      </w:r>
      <w:proofErr w:type="spellEnd"/>
      <w:r w:rsidR="00FF1B09" w:rsidRPr="003A7CAF">
        <w:rPr>
          <w:rFonts w:ascii="Noto Sans" w:eastAsia="Times New Roman" w:hAnsi="Noto Sans" w:cs="Arial"/>
          <w:color w:val="000000" w:themeColor="text1"/>
          <w:szCs w:val="20"/>
          <w:lang w:eastAsia="de-DE"/>
        </w:rPr>
        <w:t xml:space="preserve"> eine neue Dienstleistung auf Basis eines rechnerbasierten Tools an, das im Schwerpunkt d</w:t>
      </w:r>
      <w:r w:rsidR="00E012ED" w:rsidRPr="003A7CAF">
        <w:rPr>
          <w:rFonts w:ascii="Noto Sans" w:eastAsia="Times New Roman" w:hAnsi="Noto Sans" w:cs="Arial"/>
          <w:color w:val="000000" w:themeColor="text1"/>
          <w:szCs w:val="20"/>
          <w:lang w:eastAsia="de-DE"/>
        </w:rPr>
        <w:t xml:space="preserve">ie Strom- und Gaslastgänge von </w:t>
      </w:r>
      <w:r w:rsidR="00FF1B09" w:rsidRPr="003A7CAF">
        <w:rPr>
          <w:rFonts w:ascii="Noto Sans" w:eastAsia="Times New Roman" w:hAnsi="Noto Sans" w:cs="Arial"/>
          <w:color w:val="000000" w:themeColor="text1"/>
          <w:szCs w:val="20"/>
          <w:lang w:eastAsia="de-DE"/>
        </w:rPr>
        <w:t>BHKW-</w:t>
      </w:r>
      <w:r w:rsidR="00E012ED" w:rsidRPr="003A7CAF">
        <w:rPr>
          <w:rFonts w:ascii="Noto Sans" w:eastAsia="Times New Roman" w:hAnsi="Noto Sans" w:cs="Arial"/>
          <w:color w:val="000000" w:themeColor="text1"/>
          <w:szCs w:val="20"/>
          <w:lang w:eastAsia="de-DE"/>
        </w:rPr>
        <w:t>Interessenten</w:t>
      </w:r>
      <w:r w:rsidR="00FF1B09" w:rsidRPr="003A7CAF">
        <w:rPr>
          <w:rFonts w:ascii="Noto Sans" w:eastAsia="Times New Roman" w:hAnsi="Noto Sans" w:cs="Arial"/>
          <w:color w:val="000000" w:themeColor="text1"/>
          <w:szCs w:val="20"/>
          <w:lang w:eastAsia="de-DE"/>
        </w:rPr>
        <w:t xml:space="preserve"> analysiert.</w:t>
      </w:r>
      <w:r w:rsidR="0001459E" w:rsidRPr="003A7CAF">
        <w:rPr>
          <w:rFonts w:ascii="Noto Sans" w:eastAsia="Times New Roman" w:hAnsi="Noto Sans" w:cs="Arial"/>
          <w:color w:val="000000" w:themeColor="text1"/>
          <w:szCs w:val="20"/>
          <w:lang w:eastAsia="de-DE"/>
        </w:rPr>
        <w:t xml:space="preserve"> </w:t>
      </w:r>
      <w:r w:rsidR="00FF1B09" w:rsidRPr="003A7CAF">
        <w:rPr>
          <w:rFonts w:ascii="Noto Sans" w:eastAsia="Times New Roman" w:hAnsi="Noto Sans" w:cs="Arial"/>
          <w:color w:val="000000" w:themeColor="text1"/>
          <w:szCs w:val="20"/>
          <w:lang w:eastAsia="de-DE"/>
        </w:rPr>
        <w:t xml:space="preserve">Für Alfred Gayer, Vertriebsleiter von 2G und Geschäftsführer der 2G Rental GmbH, ist die kostenlose Lastganganalyse </w:t>
      </w:r>
      <w:r w:rsidR="0001459E" w:rsidRPr="003A7CAF">
        <w:rPr>
          <w:rFonts w:ascii="Noto Sans" w:eastAsia="Times New Roman" w:hAnsi="Noto Sans" w:cs="Arial"/>
          <w:color w:val="000000" w:themeColor="text1"/>
          <w:szCs w:val="20"/>
          <w:lang w:eastAsia="de-DE"/>
        </w:rPr>
        <w:t xml:space="preserve">von 2G </w:t>
      </w:r>
      <w:r w:rsidR="00FF1B09" w:rsidRPr="003A7CAF">
        <w:rPr>
          <w:rFonts w:ascii="Noto Sans" w:eastAsia="Times New Roman" w:hAnsi="Noto Sans" w:cs="Arial"/>
          <w:color w:val="000000" w:themeColor="text1"/>
          <w:szCs w:val="20"/>
          <w:lang w:eastAsia="de-DE"/>
        </w:rPr>
        <w:t>ein wirksames Instrument, um eine realistische Berechnung der Wirtschaftlichkeit von BHKW-Investments in kurzer Zeit vorzunehmen: „Erforderlich ist nur die Eingabe derjenigen Daten, die tatsächlich im konkreten Fall zu berücksichtigen sind. D</w:t>
      </w:r>
      <w:r w:rsidR="001E2028" w:rsidRPr="003A7CAF">
        <w:rPr>
          <w:rFonts w:ascii="Noto Sans" w:eastAsia="Times New Roman" w:hAnsi="Noto Sans" w:cs="Arial"/>
          <w:color w:val="000000" w:themeColor="text1"/>
          <w:szCs w:val="20"/>
          <w:lang w:eastAsia="de-DE"/>
        </w:rPr>
        <w:t xml:space="preserve">azu gehören z.B. </w:t>
      </w:r>
      <w:r w:rsidR="00FF1B09" w:rsidRPr="003A7CAF">
        <w:rPr>
          <w:rFonts w:ascii="Noto Sans" w:eastAsia="Times New Roman" w:hAnsi="Noto Sans" w:cs="Arial"/>
          <w:color w:val="000000" w:themeColor="text1"/>
          <w:szCs w:val="20"/>
          <w:lang w:eastAsia="de-DE"/>
        </w:rPr>
        <w:t xml:space="preserve">die individuellen </w:t>
      </w:r>
      <w:r w:rsidR="00FF1B09" w:rsidRPr="000A7E80">
        <w:rPr>
          <w:rFonts w:ascii="Noto Sans" w:eastAsia="Times New Roman" w:hAnsi="Noto Sans" w:cs="Arial"/>
          <w:color w:val="000000" w:themeColor="text1"/>
          <w:szCs w:val="20"/>
          <w:lang w:eastAsia="de-DE"/>
        </w:rPr>
        <w:t xml:space="preserve">Bezugspreise </w:t>
      </w:r>
      <w:r w:rsidR="001E2028" w:rsidRPr="000A7E80">
        <w:rPr>
          <w:rFonts w:ascii="Noto Sans" w:eastAsia="Times New Roman" w:hAnsi="Noto Sans" w:cs="Arial"/>
          <w:color w:val="000000" w:themeColor="text1"/>
          <w:szCs w:val="20"/>
          <w:lang w:eastAsia="de-DE"/>
        </w:rPr>
        <w:t xml:space="preserve">für Strom und Gas, die BHKW-Laufzeit sowie </w:t>
      </w:r>
      <w:r w:rsidR="00D2097B" w:rsidRPr="000A7E80">
        <w:rPr>
          <w:rFonts w:ascii="Noto Sans" w:eastAsia="Times New Roman" w:hAnsi="Noto Sans" w:cs="Arial"/>
          <w:color w:val="000000" w:themeColor="text1"/>
          <w:szCs w:val="20"/>
          <w:lang w:eastAsia="de-DE"/>
        </w:rPr>
        <w:t xml:space="preserve">die </w:t>
      </w:r>
      <w:r w:rsidR="001E2028" w:rsidRPr="000A7E80">
        <w:rPr>
          <w:rFonts w:ascii="Noto Sans" w:eastAsia="Times New Roman" w:hAnsi="Noto Sans" w:cs="Arial"/>
          <w:color w:val="000000" w:themeColor="text1"/>
          <w:szCs w:val="20"/>
          <w:lang w:eastAsia="de-DE"/>
        </w:rPr>
        <w:t xml:space="preserve">Pufferspeichergröße und möglichst aktuelle Lastgänge. </w:t>
      </w:r>
      <w:r w:rsidR="00E776A5" w:rsidRPr="000A7E80">
        <w:rPr>
          <w:rFonts w:ascii="Noto Sans" w:eastAsia="Times New Roman" w:hAnsi="Noto Sans" w:cs="Arial"/>
          <w:color w:val="000000" w:themeColor="text1"/>
          <w:szCs w:val="20"/>
          <w:lang w:eastAsia="de-DE"/>
        </w:rPr>
        <w:t>Die sich häufig ändernden und komplizierten politischen Rahmenbedingungen wie das Kraft-Wärme-Kopplungs-Gesetz (KWKG) oder das Erneuerbare-Energien-Gesetz (EEG) w</w:t>
      </w:r>
      <w:r w:rsidR="00D2097B" w:rsidRPr="000A7E80">
        <w:rPr>
          <w:rFonts w:ascii="Noto Sans" w:eastAsia="Times New Roman" w:hAnsi="Noto Sans" w:cs="Arial"/>
          <w:color w:val="000000" w:themeColor="text1"/>
          <w:szCs w:val="20"/>
          <w:lang w:eastAsia="de-DE"/>
        </w:rPr>
        <w:t xml:space="preserve">erden auf Basis einer </w:t>
      </w:r>
      <w:r w:rsidR="00E776A5" w:rsidRPr="000A7E80">
        <w:rPr>
          <w:rFonts w:ascii="Noto Sans" w:eastAsia="Times New Roman" w:hAnsi="Noto Sans" w:cs="Arial"/>
          <w:color w:val="000000" w:themeColor="text1"/>
          <w:szCs w:val="20"/>
          <w:lang w:eastAsia="de-DE"/>
        </w:rPr>
        <w:t xml:space="preserve">Datenbank tagesaktuell und automatisch in die Wirtschaftlichkeitsberechnung einbezogen. </w:t>
      </w:r>
      <w:r w:rsidR="001E2028" w:rsidRPr="000A7E80">
        <w:rPr>
          <w:rFonts w:ascii="Noto Sans" w:eastAsia="Times New Roman" w:hAnsi="Noto Sans" w:cs="Arial"/>
          <w:color w:val="000000" w:themeColor="text1"/>
          <w:szCs w:val="20"/>
          <w:lang w:eastAsia="de-DE"/>
        </w:rPr>
        <w:t>Bereits umgesetzte Anlagen</w:t>
      </w:r>
      <w:r w:rsidR="001E2028" w:rsidRPr="003A7CAF">
        <w:rPr>
          <w:rFonts w:ascii="Noto Sans" w:eastAsia="Times New Roman" w:hAnsi="Noto Sans" w:cs="Arial"/>
          <w:color w:val="000000" w:themeColor="text1"/>
          <w:szCs w:val="20"/>
          <w:lang w:eastAsia="de-DE"/>
        </w:rPr>
        <w:t xml:space="preserve"> </w:t>
      </w:r>
      <w:r w:rsidR="009E0CE7" w:rsidRPr="003A7CAF">
        <w:rPr>
          <w:rFonts w:ascii="Noto Sans" w:eastAsia="Times New Roman" w:hAnsi="Noto Sans" w:cs="Arial"/>
          <w:color w:val="000000" w:themeColor="text1"/>
          <w:szCs w:val="20"/>
          <w:lang w:eastAsia="de-DE"/>
        </w:rPr>
        <w:t xml:space="preserve">über das gesamte 2G Portfolio von 20 bis 4.000 kW elektrisch </w:t>
      </w:r>
      <w:r w:rsidR="001E2028" w:rsidRPr="003A7CAF">
        <w:rPr>
          <w:rFonts w:ascii="Noto Sans" w:eastAsia="Times New Roman" w:hAnsi="Noto Sans" w:cs="Arial"/>
          <w:color w:val="000000" w:themeColor="text1"/>
          <w:szCs w:val="20"/>
          <w:lang w:eastAsia="de-DE"/>
        </w:rPr>
        <w:t>machen deutlich, dass die Wirtschaftlichkeitsanalyse in der Praxis den Nachweis ihrer Richtigkeit erbringt.“</w:t>
      </w:r>
    </w:p>
    <w:p w14:paraId="5EA89AE9" w14:textId="092E2AED" w:rsidR="006075BF" w:rsidRPr="003A7CAF" w:rsidRDefault="001E2028" w:rsidP="00F655B6">
      <w:pPr>
        <w:spacing w:before="100" w:beforeAutospacing="1" w:after="100" w:afterAutospacing="1" w:line="240" w:lineRule="auto"/>
        <w:ind w:left="0"/>
        <w:jc w:val="both"/>
        <w:rPr>
          <w:rFonts w:ascii="Noto Sans" w:eastAsia="Times New Roman" w:hAnsi="Noto Sans" w:cs="Arial"/>
          <w:color w:val="000000" w:themeColor="text1"/>
          <w:szCs w:val="20"/>
          <w:lang w:eastAsia="de-DE"/>
        </w:rPr>
      </w:pPr>
      <w:r w:rsidRPr="003A7CAF">
        <w:rPr>
          <w:rFonts w:ascii="Noto Sans" w:eastAsia="Times New Roman" w:hAnsi="Noto Sans" w:cs="Arial"/>
          <w:color w:val="000000" w:themeColor="text1"/>
          <w:szCs w:val="20"/>
          <w:lang w:eastAsia="de-DE"/>
        </w:rPr>
        <w:t xml:space="preserve">Sollten keine realen Lastgänge </w:t>
      </w:r>
      <w:r w:rsidR="00D2097B" w:rsidRPr="003A7CAF">
        <w:rPr>
          <w:rFonts w:ascii="Noto Sans" w:eastAsia="Times New Roman" w:hAnsi="Noto Sans" w:cs="Arial"/>
          <w:color w:val="000000" w:themeColor="text1"/>
          <w:szCs w:val="20"/>
          <w:lang w:eastAsia="de-DE"/>
        </w:rPr>
        <w:t xml:space="preserve">als Basis für die Wirtschaftlichkeitsanalyse </w:t>
      </w:r>
      <w:r w:rsidRPr="003A7CAF">
        <w:rPr>
          <w:rFonts w:ascii="Noto Sans" w:eastAsia="Times New Roman" w:hAnsi="Noto Sans" w:cs="Arial"/>
          <w:color w:val="000000" w:themeColor="text1"/>
          <w:szCs w:val="20"/>
          <w:lang w:eastAsia="de-DE"/>
        </w:rPr>
        <w:t xml:space="preserve">kundenseitig zur Verfügung stehen, so kann auf Basis von </w:t>
      </w:r>
      <w:r w:rsidR="00301BB0" w:rsidRPr="003A7CAF">
        <w:rPr>
          <w:rFonts w:ascii="Noto Sans" w:eastAsia="Times New Roman" w:hAnsi="Noto Sans" w:cs="Arial"/>
          <w:color w:val="000000" w:themeColor="text1"/>
          <w:szCs w:val="20"/>
          <w:lang w:eastAsia="de-DE"/>
        </w:rPr>
        <w:t xml:space="preserve">einer großen Zahl an </w:t>
      </w:r>
      <w:r w:rsidR="006075BF" w:rsidRPr="003A7CAF">
        <w:rPr>
          <w:rFonts w:ascii="Noto Sans" w:eastAsia="Times New Roman" w:hAnsi="Noto Sans" w:cs="Arial"/>
          <w:color w:val="000000" w:themeColor="text1"/>
          <w:szCs w:val="20"/>
          <w:lang w:eastAsia="de-DE"/>
        </w:rPr>
        <w:t xml:space="preserve">Standardlastprofilen, die </w:t>
      </w:r>
      <w:r w:rsidRPr="003A7CAF">
        <w:rPr>
          <w:rFonts w:ascii="Noto Sans" w:eastAsia="Times New Roman" w:hAnsi="Noto Sans" w:cs="Arial"/>
          <w:color w:val="000000" w:themeColor="text1"/>
          <w:szCs w:val="20"/>
          <w:lang w:eastAsia="de-DE"/>
        </w:rPr>
        <w:t>nach Branchen differenzi</w:t>
      </w:r>
      <w:r w:rsidR="006075BF" w:rsidRPr="003A7CAF">
        <w:rPr>
          <w:rFonts w:ascii="Noto Sans" w:eastAsia="Times New Roman" w:hAnsi="Noto Sans" w:cs="Arial"/>
          <w:color w:val="000000" w:themeColor="text1"/>
          <w:szCs w:val="20"/>
          <w:lang w:eastAsia="de-DE"/>
        </w:rPr>
        <w:t>ert sind,</w:t>
      </w:r>
      <w:r w:rsidRPr="003A7CAF">
        <w:rPr>
          <w:rFonts w:ascii="Noto Sans" w:eastAsia="Times New Roman" w:hAnsi="Noto Sans" w:cs="Arial"/>
          <w:color w:val="000000" w:themeColor="text1"/>
          <w:szCs w:val="20"/>
          <w:lang w:eastAsia="de-DE"/>
        </w:rPr>
        <w:t xml:space="preserve"> ein virtueller </w:t>
      </w:r>
      <w:proofErr w:type="spellStart"/>
      <w:r w:rsidRPr="003A7CAF">
        <w:rPr>
          <w:rFonts w:ascii="Noto Sans" w:eastAsia="Times New Roman" w:hAnsi="Noto Sans" w:cs="Arial"/>
          <w:color w:val="000000" w:themeColor="text1"/>
          <w:szCs w:val="20"/>
          <w:lang w:eastAsia="de-DE"/>
        </w:rPr>
        <w:t>Lastgang</w:t>
      </w:r>
      <w:proofErr w:type="spellEnd"/>
      <w:r w:rsidRPr="003A7CAF">
        <w:rPr>
          <w:rFonts w:ascii="Noto Sans" w:eastAsia="Times New Roman" w:hAnsi="Noto Sans" w:cs="Arial"/>
          <w:color w:val="000000" w:themeColor="text1"/>
          <w:szCs w:val="20"/>
          <w:lang w:eastAsia="de-DE"/>
        </w:rPr>
        <w:t xml:space="preserve"> </w:t>
      </w:r>
      <w:r w:rsidR="00D2097B" w:rsidRPr="003A7CAF">
        <w:rPr>
          <w:rFonts w:ascii="Noto Sans" w:eastAsia="Times New Roman" w:hAnsi="Noto Sans" w:cs="Arial"/>
          <w:color w:val="000000" w:themeColor="text1"/>
          <w:szCs w:val="20"/>
          <w:lang w:eastAsia="de-DE"/>
        </w:rPr>
        <w:t xml:space="preserve">mit Hilfe des Analysetools </w:t>
      </w:r>
      <w:r w:rsidRPr="003A7CAF">
        <w:rPr>
          <w:rFonts w:ascii="Noto Sans" w:eastAsia="Times New Roman" w:hAnsi="Noto Sans" w:cs="Arial"/>
          <w:color w:val="000000" w:themeColor="text1"/>
          <w:szCs w:val="20"/>
          <w:lang w:eastAsia="de-DE"/>
        </w:rPr>
        <w:t>erzeugt werden</w:t>
      </w:r>
      <w:r w:rsidR="00301BB0" w:rsidRPr="003A7CAF">
        <w:rPr>
          <w:rFonts w:ascii="Noto Sans" w:eastAsia="Times New Roman" w:hAnsi="Noto Sans" w:cs="Arial"/>
          <w:color w:val="000000" w:themeColor="text1"/>
          <w:szCs w:val="20"/>
          <w:lang w:eastAsia="de-DE"/>
        </w:rPr>
        <w:t xml:space="preserve">. </w:t>
      </w:r>
      <w:r w:rsidR="009E0CE7" w:rsidRPr="003A7CAF">
        <w:rPr>
          <w:rFonts w:ascii="Noto Sans" w:eastAsia="Times New Roman" w:hAnsi="Noto Sans" w:cs="Arial"/>
          <w:color w:val="000000" w:themeColor="text1"/>
          <w:szCs w:val="20"/>
          <w:lang w:eastAsia="de-DE"/>
        </w:rPr>
        <w:t xml:space="preserve">Neben der Berücksichtigung von Branchenspezifika wird dieser </w:t>
      </w:r>
      <w:r w:rsidRPr="003A7CAF">
        <w:rPr>
          <w:rFonts w:ascii="Noto Sans" w:eastAsia="Times New Roman" w:hAnsi="Noto Sans" w:cs="Arial"/>
          <w:color w:val="000000" w:themeColor="text1"/>
          <w:szCs w:val="20"/>
          <w:lang w:eastAsia="de-DE"/>
        </w:rPr>
        <w:t xml:space="preserve">u.a. abhängig vom Klimastandort, </w:t>
      </w:r>
      <w:r w:rsidR="006075BF" w:rsidRPr="003A7CAF">
        <w:rPr>
          <w:rFonts w:ascii="Noto Sans" w:eastAsia="Times New Roman" w:hAnsi="Noto Sans" w:cs="Arial"/>
          <w:color w:val="000000" w:themeColor="text1"/>
          <w:szCs w:val="20"/>
          <w:lang w:eastAsia="de-DE"/>
        </w:rPr>
        <w:t>den Betriebszeiten und dem Antei</w:t>
      </w:r>
      <w:r w:rsidR="00301BB0" w:rsidRPr="003A7CAF">
        <w:rPr>
          <w:rFonts w:ascii="Noto Sans" w:eastAsia="Times New Roman" w:hAnsi="Noto Sans" w:cs="Arial"/>
          <w:color w:val="000000" w:themeColor="text1"/>
          <w:szCs w:val="20"/>
          <w:lang w:eastAsia="de-DE"/>
        </w:rPr>
        <w:t>l an Prozesswärme berechnet</w:t>
      </w:r>
      <w:r w:rsidR="006075BF" w:rsidRPr="003A7CAF">
        <w:rPr>
          <w:rFonts w:ascii="Noto Sans" w:eastAsia="Times New Roman" w:hAnsi="Noto Sans" w:cs="Arial"/>
          <w:color w:val="000000" w:themeColor="text1"/>
          <w:szCs w:val="20"/>
          <w:lang w:eastAsia="de-DE"/>
        </w:rPr>
        <w:t>.</w:t>
      </w:r>
      <w:r w:rsidR="0001459E" w:rsidRPr="003A7CAF">
        <w:rPr>
          <w:rFonts w:ascii="Noto Sans" w:eastAsia="Times New Roman" w:hAnsi="Noto Sans" w:cs="Arial"/>
          <w:color w:val="000000" w:themeColor="text1"/>
          <w:szCs w:val="20"/>
          <w:lang w:eastAsia="de-DE"/>
        </w:rPr>
        <w:t xml:space="preserve"> Bei der Auslegung der wirtschaftlich sinnvollsten BHKW-Leistung unterstützt das Analysetool durch die Berechnung verschiedener Varianten mit BHKW-Modulen unterschiedlicher Leistung.</w:t>
      </w:r>
    </w:p>
    <w:p w14:paraId="6E7E5834" w14:textId="47256AA4" w:rsidR="00A066F1" w:rsidRPr="003A7CAF" w:rsidRDefault="00A066F1" w:rsidP="00F655B6">
      <w:pPr>
        <w:spacing w:before="100" w:beforeAutospacing="1" w:after="100" w:afterAutospacing="1" w:line="240" w:lineRule="auto"/>
        <w:ind w:left="0"/>
        <w:jc w:val="both"/>
        <w:rPr>
          <w:rFonts w:ascii="Noto Sans" w:eastAsia="Times New Roman" w:hAnsi="Noto Sans" w:cs="Arial"/>
          <w:b/>
          <w:color w:val="000000" w:themeColor="text1"/>
          <w:szCs w:val="20"/>
          <w:lang w:eastAsia="de-DE"/>
        </w:rPr>
      </w:pPr>
      <w:r w:rsidRPr="003A7CAF">
        <w:rPr>
          <w:rFonts w:ascii="Noto Sans" w:eastAsia="Times New Roman" w:hAnsi="Noto Sans" w:cs="Arial"/>
          <w:b/>
          <w:color w:val="000000" w:themeColor="text1"/>
          <w:szCs w:val="20"/>
          <w:lang w:eastAsia="de-DE"/>
        </w:rPr>
        <w:t xml:space="preserve">Bezirksklinik </w:t>
      </w:r>
      <w:proofErr w:type="spellStart"/>
      <w:r w:rsidRPr="003A7CAF">
        <w:rPr>
          <w:rFonts w:ascii="Noto Sans" w:eastAsia="Times New Roman" w:hAnsi="Noto Sans" w:cs="Arial"/>
          <w:b/>
          <w:color w:val="000000" w:themeColor="text1"/>
          <w:szCs w:val="20"/>
          <w:lang w:eastAsia="de-DE"/>
        </w:rPr>
        <w:t>Rehau</w:t>
      </w:r>
      <w:proofErr w:type="spellEnd"/>
      <w:r w:rsidRPr="003A7CAF">
        <w:rPr>
          <w:rFonts w:ascii="Noto Sans" w:eastAsia="Times New Roman" w:hAnsi="Noto Sans" w:cs="Arial"/>
          <w:b/>
          <w:color w:val="000000" w:themeColor="text1"/>
          <w:szCs w:val="20"/>
          <w:lang w:eastAsia="de-DE"/>
        </w:rPr>
        <w:t xml:space="preserve"> investiert in g-box 50 auf B</w:t>
      </w:r>
      <w:r w:rsidR="000143AC">
        <w:rPr>
          <w:rFonts w:ascii="Noto Sans" w:eastAsia="Times New Roman" w:hAnsi="Noto Sans" w:cs="Arial"/>
          <w:b/>
          <w:color w:val="000000" w:themeColor="text1"/>
          <w:szCs w:val="20"/>
          <w:lang w:eastAsia="de-DE"/>
        </w:rPr>
        <w:t>asis Wirtschaftlichkeitsanalyse</w:t>
      </w:r>
    </w:p>
    <w:p w14:paraId="6D0E16A6" w14:textId="2E53EDBF" w:rsidR="001F6C6B" w:rsidRPr="003A7CAF" w:rsidRDefault="006075BF" w:rsidP="00F655B6">
      <w:pPr>
        <w:spacing w:before="100" w:beforeAutospacing="1" w:after="100" w:afterAutospacing="1" w:line="240" w:lineRule="auto"/>
        <w:ind w:left="0"/>
        <w:jc w:val="both"/>
        <w:rPr>
          <w:rFonts w:ascii="Noto Sans" w:eastAsia="Times New Roman" w:hAnsi="Noto Sans" w:cs="Arial"/>
          <w:color w:val="000000" w:themeColor="text1"/>
          <w:szCs w:val="20"/>
          <w:lang w:eastAsia="de-DE"/>
        </w:rPr>
      </w:pPr>
      <w:r w:rsidRPr="003A7CAF">
        <w:rPr>
          <w:rFonts w:ascii="Noto Sans" w:eastAsia="Times New Roman" w:hAnsi="Noto Sans" w:cs="Arial"/>
          <w:color w:val="000000" w:themeColor="text1"/>
          <w:szCs w:val="20"/>
          <w:lang w:eastAsia="de-DE"/>
        </w:rPr>
        <w:t>Die Wirtschaftlichkeitsbetrachtung</w:t>
      </w:r>
      <w:r w:rsidR="00E776A5" w:rsidRPr="003A7CAF">
        <w:rPr>
          <w:rFonts w:ascii="Noto Sans" w:eastAsia="Times New Roman" w:hAnsi="Noto Sans" w:cs="Arial"/>
          <w:color w:val="000000" w:themeColor="text1"/>
          <w:szCs w:val="20"/>
          <w:lang w:eastAsia="de-DE"/>
        </w:rPr>
        <w:t xml:space="preserve"> von 2G war</w:t>
      </w:r>
      <w:r w:rsidRPr="003A7CAF">
        <w:rPr>
          <w:rFonts w:ascii="Noto Sans" w:eastAsia="Times New Roman" w:hAnsi="Noto Sans" w:cs="Arial"/>
          <w:color w:val="000000" w:themeColor="text1"/>
          <w:szCs w:val="20"/>
          <w:lang w:eastAsia="de-DE"/>
        </w:rPr>
        <w:t xml:space="preserve"> für die Bezirksklinik </w:t>
      </w:r>
      <w:proofErr w:type="spellStart"/>
      <w:r w:rsidRPr="003A7CAF">
        <w:rPr>
          <w:rFonts w:ascii="Noto Sans" w:eastAsia="Times New Roman" w:hAnsi="Noto Sans" w:cs="Arial"/>
          <w:color w:val="000000" w:themeColor="text1"/>
          <w:szCs w:val="20"/>
          <w:lang w:eastAsia="de-DE"/>
        </w:rPr>
        <w:t>Rehau</w:t>
      </w:r>
      <w:proofErr w:type="spellEnd"/>
      <w:r w:rsidRPr="003A7CAF">
        <w:rPr>
          <w:rFonts w:ascii="Noto Sans" w:eastAsia="Times New Roman" w:hAnsi="Noto Sans" w:cs="Arial"/>
          <w:color w:val="000000" w:themeColor="text1"/>
          <w:szCs w:val="20"/>
          <w:lang w:eastAsia="de-DE"/>
        </w:rPr>
        <w:t xml:space="preserve"> in Oberfranken </w:t>
      </w:r>
      <w:r w:rsidR="00E776A5" w:rsidRPr="003A7CAF">
        <w:rPr>
          <w:rFonts w:ascii="Noto Sans" w:eastAsia="Times New Roman" w:hAnsi="Noto Sans" w:cs="Arial"/>
          <w:color w:val="000000" w:themeColor="text1"/>
          <w:szCs w:val="20"/>
          <w:lang w:eastAsia="de-DE"/>
        </w:rPr>
        <w:t xml:space="preserve">die Grundlage </w:t>
      </w:r>
      <w:r w:rsidRPr="003A7CAF">
        <w:rPr>
          <w:rFonts w:ascii="Noto Sans" w:eastAsia="Times New Roman" w:hAnsi="Noto Sans" w:cs="Arial"/>
          <w:color w:val="000000" w:themeColor="text1"/>
          <w:szCs w:val="20"/>
          <w:lang w:eastAsia="de-DE"/>
        </w:rPr>
        <w:t>zur Investition in eine g-box 50 mit einer elektrischen Leistung von 50 kW sowie einer thermischen Leistung von</w:t>
      </w:r>
      <w:r w:rsidR="00D2097B" w:rsidRPr="003A7CAF">
        <w:rPr>
          <w:rFonts w:ascii="Noto Sans" w:eastAsia="Times New Roman" w:hAnsi="Noto Sans" w:cs="Arial"/>
          <w:color w:val="000000" w:themeColor="text1"/>
          <w:szCs w:val="20"/>
          <w:lang w:eastAsia="de-DE"/>
        </w:rPr>
        <w:t xml:space="preserve"> 100 kW</w:t>
      </w:r>
      <w:r w:rsidRPr="003A7CAF">
        <w:rPr>
          <w:rFonts w:ascii="Noto Sans" w:eastAsia="Times New Roman" w:hAnsi="Noto Sans" w:cs="Arial"/>
          <w:color w:val="000000" w:themeColor="text1"/>
          <w:szCs w:val="20"/>
          <w:lang w:eastAsia="de-DE"/>
        </w:rPr>
        <w:t>.</w:t>
      </w:r>
      <w:r w:rsidR="00A066F1" w:rsidRPr="003A7CAF">
        <w:rPr>
          <w:rFonts w:ascii="Noto Sans" w:eastAsia="Times New Roman" w:hAnsi="Noto Sans" w:cs="Arial"/>
          <w:color w:val="000000" w:themeColor="text1"/>
          <w:szCs w:val="20"/>
          <w:lang w:eastAsia="de-DE"/>
        </w:rPr>
        <w:t xml:space="preserve"> </w:t>
      </w:r>
      <w:r w:rsidRPr="003A7CAF">
        <w:rPr>
          <w:rFonts w:ascii="Noto Sans" w:eastAsia="Times New Roman" w:hAnsi="Noto Sans" w:cs="Arial"/>
          <w:color w:val="000000" w:themeColor="text1"/>
          <w:szCs w:val="20"/>
          <w:lang w:eastAsia="de-DE"/>
        </w:rPr>
        <w:t>Das BHKW deckt einen Großteil des</w:t>
      </w:r>
      <w:r w:rsidR="00A066F1" w:rsidRPr="003A7CAF">
        <w:rPr>
          <w:rFonts w:ascii="Noto Sans" w:eastAsia="Times New Roman" w:hAnsi="Noto Sans" w:cs="Arial"/>
          <w:color w:val="000000" w:themeColor="text1"/>
          <w:szCs w:val="20"/>
          <w:lang w:eastAsia="de-DE"/>
        </w:rPr>
        <w:t xml:space="preserve"> </w:t>
      </w:r>
      <w:r w:rsidR="00CB673E">
        <w:rPr>
          <w:rFonts w:ascii="Noto Sans" w:eastAsia="Times New Roman" w:hAnsi="Noto Sans" w:cs="Arial"/>
          <w:color w:val="000000" w:themeColor="text1"/>
          <w:szCs w:val="20"/>
          <w:lang w:eastAsia="de-DE"/>
        </w:rPr>
        <w:t xml:space="preserve">durchschnittlichen jährlichen </w:t>
      </w:r>
      <w:r w:rsidRPr="003A7CAF">
        <w:rPr>
          <w:rFonts w:ascii="Noto Sans" w:eastAsia="Times New Roman" w:hAnsi="Noto Sans" w:cs="Arial"/>
          <w:color w:val="000000" w:themeColor="text1"/>
          <w:szCs w:val="20"/>
          <w:lang w:eastAsia="de-DE"/>
        </w:rPr>
        <w:t xml:space="preserve">Bedarfs an Strom </w:t>
      </w:r>
      <w:r w:rsidRPr="000A7E80">
        <w:rPr>
          <w:rFonts w:ascii="Noto Sans" w:eastAsia="Times New Roman" w:hAnsi="Noto Sans" w:cs="Arial"/>
          <w:color w:val="000000" w:themeColor="text1"/>
          <w:szCs w:val="20"/>
          <w:lang w:eastAsia="de-DE"/>
        </w:rPr>
        <w:t>(</w:t>
      </w:r>
      <w:r w:rsidR="00CB673E" w:rsidRPr="000A7E80">
        <w:rPr>
          <w:rFonts w:ascii="Noto Sans" w:eastAsia="Times New Roman" w:hAnsi="Noto Sans" w:cs="Arial"/>
          <w:color w:val="000000" w:themeColor="text1"/>
          <w:szCs w:val="20"/>
          <w:lang w:eastAsia="de-DE"/>
        </w:rPr>
        <w:t>ca. 60 %</w:t>
      </w:r>
      <w:r w:rsidRPr="000A7E80">
        <w:rPr>
          <w:rFonts w:ascii="Noto Sans" w:eastAsia="Times New Roman" w:hAnsi="Noto Sans" w:cs="Arial"/>
          <w:color w:val="000000" w:themeColor="text1"/>
          <w:szCs w:val="20"/>
          <w:lang w:eastAsia="de-DE"/>
        </w:rPr>
        <w:t>)</w:t>
      </w:r>
      <w:r w:rsidRPr="003A7CAF">
        <w:rPr>
          <w:rFonts w:ascii="Noto Sans" w:eastAsia="Times New Roman" w:hAnsi="Noto Sans" w:cs="Arial"/>
          <w:color w:val="000000" w:themeColor="text1"/>
          <w:szCs w:val="20"/>
          <w:lang w:eastAsia="de-DE"/>
        </w:rPr>
        <w:t xml:space="preserve"> und Wärme </w:t>
      </w:r>
      <w:r w:rsidR="00CB673E">
        <w:rPr>
          <w:rFonts w:ascii="Noto Sans" w:eastAsia="Times New Roman" w:hAnsi="Noto Sans" w:cs="Arial"/>
          <w:color w:val="000000" w:themeColor="text1"/>
          <w:szCs w:val="20"/>
          <w:lang w:eastAsia="de-DE"/>
        </w:rPr>
        <w:t>(ca. 40 %</w:t>
      </w:r>
      <w:r w:rsidR="00A066F1" w:rsidRPr="003A7CAF">
        <w:rPr>
          <w:rFonts w:ascii="Noto Sans" w:eastAsia="Times New Roman" w:hAnsi="Noto Sans" w:cs="Arial"/>
          <w:color w:val="000000" w:themeColor="text1"/>
          <w:szCs w:val="20"/>
          <w:lang w:eastAsia="de-DE"/>
        </w:rPr>
        <w:t xml:space="preserve">) ab. Timo Stumpf, Gesamtleiter Facility Management der </w:t>
      </w:r>
      <w:proofErr w:type="spellStart"/>
      <w:r w:rsidR="00A066F1" w:rsidRPr="003A7CAF">
        <w:rPr>
          <w:rFonts w:ascii="Noto Sans" w:eastAsia="Times New Roman" w:hAnsi="Noto Sans" w:cs="Arial"/>
          <w:color w:val="000000" w:themeColor="text1"/>
          <w:szCs w:val="20"/>
          <w:lang w:eastAsia="de-DE"/>
        </w:rPr>
        <w:t>GeBO</w:t>
      </w:r>
      <w:proofErr w:type="spellEnd"/>
      <w:r w:rsidR="00A066F1" w:rsidRPr="003A7CAF">
        <w:rPr>
          <w:rFonts w:ascii="Noto Sans" w:eastAsia="Times New Roman" w:hAnsi="Noto Sans" w:cs="Arial"/>
          <w:color w:val="000000" w:themeColor="text1"/>
          <w:szCs w:val="20"/>
          <w:lang w:eastAsia="de-DE"/>
        </w:rPr>
        <w:t xml:space="preserve"> (Kommunalunternehmen Gesundheitseinrichtungen des Bezirks Oberfranken) mit Sitz in Bayreuth</w:t>
      </w:r>
      <w:r w:rsidR="001F6C6B" w:rsidRPr="003A7CAF">
        <w:rPr>
          <w:rFonts w:ascii="Noto Sans" w:eastAsia="Times New Roman" w:hAnsi="Noto Sans" w:cs="Arial"/>
          <w:color w:val="000000" w:themeColor="text1"/>
          <w:szCs w:val="20"/>
          <w:lang w:eastAsia="de-DE"/>
        </w:rPr>
        <w:t>, sieht sich</w:t>
      </w:r>
      <w:r w:rsidR="009E0CE7" w:rsidRPr="003A7CAF">
        <w:rPr>
          <w:rFonts w:ascii="Noto Sans" w:eastAsia="Times New Roman" w:hAnsi="Noto Sans" w:cs="Arial"/>
          <w:color w:val="000000" w:themeColor="text1"/>
          <w:szCs w:val="20"/>
          <w:lang w:eastAsia="de-DE"/>
        </w:rPr>
        <w:t xml:space="preserve"> in seiner</w:t>
      </w:r>
      <w:r w:rsidR="001F6C6B" w:rsidRPr="003A7CAF">
        <w:rPr>
          <w:rFonts w:ascii="Noto Sans" w:eastAsia="Times New Roman" w:hAnsi="Noto Sans" w:cs="Arial"/>
          <w:color w:val="000000" w:themeColor="text1"/>
          <w:szCs w:val="20"/>
          <w:lang w:eastAsia="de-DE"/>
        </w:rPr>
        <w:t xml:space="preserve"> Investitionsentscheidung bestätigt: „Bei einer Laufleistung von gut 8.600 Betriebsstunden in den ersten 13 Monaten und einer Gesamtverfügbarkeit von über 99 % hat das BHKW von</w:t>
      </w:r>
      <w:r w:rsidR="009E0CE7" w:rsidRPr="003A7CAF">
        <w:rPr>
          <w:rFonts w:ascii="Noto Sans" w:eastAsia="Times New Roman" w:hAnsi="Noto Sans" w:cs="Arial"/>
          <w:color w:val="000000" w:themeColor="text1"/>
          <w:szCs w:val="20"/>
          <w:lang w:eastAsia="de-DE"/>
        </w:rPr>
        <w:t xml:space="preserve"> 2G unsere</w:t>
      </w:r>
      <w:r w:rsidR="001F6C6B" w:rsidRPr="003A7CAF">
        <w:rPr>
          <w:rFonts w:ascii="Noto Sans" w:eastAsia="Times New Roman" w:hAnsi="Noto Sans" w:cs="Arial"/>
          <w:color w:val="000000" w:themeColor="text1"/>
          <w:szCs w:val="20"/>
          <w:lang w:eastAsia="de-DE"/>
        </w:rPr>
        <w:t xml:space="preserve"> Erwartung bestätigt, ein sicherer und effizienter Baustein der Klinikversorgung zu sein. Mit Energiekosteneinsparungen von jährlich rund 55.000 </w:t>
      </w:r>
      <w:r w:rsidR="001F6C6B" w:rsidRPr="000A7E80">
        <w:rPr>
          <w:rFonts w:ascii="Noto Sans" w:eastAsia="Times New Roman" w:hAnsi="Noto Sans" w:cs="Arial"/>
          <w:color w:val="000000" w:themeColor="text1"/>
          <w:szCs w:val="20"/>
          <w:lang w:eastAsia="de-DE"/>
        </w:rPr>
        <w:t xml:space="preserve">Euro </w:t>
      </w:r>
      <w:r w:rsidR="000A7E80" w:rsidRPr="000A7E80">
        <w:rPr>
          <w:rFonts w:ascii="Noto Sans" w:eastAsia="Times New Roman" w:hAnsi="Noto Sans" w:cs="Arial"/>
          <w:color w:val="000000" w:themeColor="text1"/>
          <w:szCs w:val="20"/>
          <w:lang w:eastAsia="de-DE"/>
        </w:rPr>
        <w:t>erreichen wir</w:t>
      </w:r>
      <w:r w:rsidR="001F6C6B" w:rsidRPr="000A7E80">
        <w:rPr>
          <w:rFonts w:ascii="Noto Sans" w:eastAsia="Times New Roman" w:hAnsi="Noto Sans" w:cs="Arial"/>
          <w:color w:val="000000" w:themeColor="text1"/>
          <w:szCs w:val="20"/>
          <w:lang w:eastAsia="de-DE"/>
        </w:rPr>
        <w:t xml:space="preserve"> die Wirtschaftlichkeitsprognose.</w:t>
      </w:r>
      <w:r w:rsidR="001F6C6B" w:rsidRPr="003A7CAF">
        <w:rPr>
          <w:rFonts w:ascii="Noto Sans" w:eastAsia="Times New Roman" w:hAnsi="Noto Sans" w:cs="Arial"/>
          <w:color w:val="000000" w:themeColor="text1"/>
          <w:szCs w:val="20"/>
          <w:lang w:eastAsia="de-DE"/>
        </w:rPr>
        <w:t xml:space="preserve"> Bei uns hat sich die g-box 50 in gut 2,3 Jahren amortisiert.“</w:t>
      </w:r>
    </w:p>
    <w:p w14:paraId="76983135" w14:textId="41BE9726" w:rsidR="00301BB0" w:rsidRPr="003A7CAF" w:rsidRDefault="0001459E" w:rsidP="00301BB0">
      <w:pPr>
        <w:spacing w:before="100" w:beforeAutospacing="1" w:after="100" w:afterAutospacing="1" w:line="240" w:lineRule="auto"/>
        <w:ind w:left="0"/>
        <w:jc w:val="both"/>
        <w:rPr>
          <w:rFonts w:ascii="Noto Sans" w:eastAsia="Times New Roman" w:hAnsi="Noto Sans" w:cs="Arial"/>
          <w:szCs w:val="20"/>
          <w:lang w:eastAsia="de-DE"/>
        </w:rPr>
      </w:pPr>
      <w:r w:rsidRPr="003A7CAF">
        <w:rPr>
          <w:rFonts w:ascii="Noto Sans" w:eastAsia="Times New Roman" w:hAnsi="Noto Sans" w:cs="Arial"/>
          <w:color w:val="000000" w:themeColor="text1"/>
          <w:szCs w:val="20"/>
          <w:lang w:eastAsia="de-DE"/>
        </w:rPr>
        <w:t>D</w:t>
      </w:r>
      <w:r w:rsidR="00301BB0" w:rsidRPr="003A7CAF">
        <w:rPr>
          <w:rFonts w:ascii="Noto Sans" w:eastAsia="Times New Roman" w:hAnsi="Noto Sans" w:cs="Arial"/>
          <w:color w:val="000000" w:themeColor="text1"/>
          <w:szCs w:val="20"/>
          <w:lang w:eastAsia="de-DE"/>
        </w:rPr>
        <w:t xml:space="preserve">ie in der Bezirksklinik </w:t>
      </w:r>
      <w:proofErr w:type="spellStart"/>
      <w:r w:rsidR="00301BB0" w:rsidRPr="003A7CAF">
        <w:rPr>
          <w:rFonts w:ascii="Noto Sans" w:eastAsia="Times New Roman" w:hAnsi="Noto Sans" w:cs="Arial"/>
          <w:color w:val="000000" w:themeColor="text1"/>
          <w:szCs w:val="20"/>
          <w:lang w:eastAsia="de-DE"/>
        </w:rPr>
        <w:t>Rehau</w:t>
      </w:r>
      <w:proofErr w:type="spellEnd"/>
      <w:r w:rsidR="00301BB0" w:rsidRPr="003A7CAF">
        <w:rPr>
          <w:rFonts w:ascii="Noto Sans" w:eastAsia="Times New Roman" w:hAnsi="Noto Sans" w:cs="Arial"/>
          <w:color w:val="000000" w:themeColor="text1"/>
          <w:szCs w:val="20"/>
          <w:lang w:eastAsia="de-DE"/>
        </w:rPr>
        <w:t xml:space="preserve"> eingesetzte </w:t>
      </w:r>
      <w:r w:rsidRPr="003A7CAF">
        <w:rPr>
          <w:rFonts w:ascii="Noto Sans" w:eastAsia="Times New Roman" w:hAnsi="Noto Sans" w:cs="Arial"/>
          <w:color w:val="000000" w:themeColor="text1"/>
          <w:szCs w:val="20"/>
          <w:lang w:eastAsia="de-DE"/>
        </w:rPr>
        <w:t>g-box 50</w:t>
      </w:r>
      <w:r w:rsidR="00301BB0" w:rsidRPr="003A7CAF">
        <w:rPr>
          <w:rFonts w:ascii="Noto Sans" w:eastAsia="Times New Roman" w:hAnsi="Noto Sans" w:cs="Arial"/>
          <w:color w:val="000000" w:themeColor="text1"/>
          <w:szCs w:val="20"/>
          <w:lang w:eastAsia="de-DE"/>
        </w:rPr>
        <w:t xml:space="preserve"> </w:t>
      </w:r>
      <w:r w:rsidRPr="003A7CAF">
        <w:rPr>
          <w:rFonts w:ascii="Noto Sans" w:eastAsia="Times New Roman" w:hAnsi="Noto Sans" w:cs="Arial"/>
          <w:color w:val="000000" w:themeColor="text1"/>
          <w:szCs w:val="20"/>
          <w:lang w:eastAsia="de-DE"/>
        </w:rPr>
        <w:t>mit</w:t>
      </w:r>
      <w:r w:rsidR="00301BB0" w:rsidRPr="003A7CAF">
        <w:rPr>
          <w:rFonts w:ascii="Noto Sans" w:eastAsia="Times New Roman" w:hAnsi="Noto Sans" w:cs="Arial"/>
          <w:color w:val="000000" w:themeColor="text1"/>
          <w:szCs w:val="20"/>
          <w:lang w:eastAsia="de-DE"/>
        </w:rPr>
        <w:t xml:space="preserve"> Brennwerttechnik</w:t>
      </w:r>
      <w:r w:rsidR="00D2097B" w:rsidRPr="003A7CAF">
        <w:rPr>
          <w:rFonts w:ascii="Noto Sans" w:eastAsia="Times New Roman" w:hAnsi="Noto Sans" w:cs="Arial"/>
          <w:color w:val="000000" w:themeColor="text1"/>
          <w:szCs w:val="20"/>
          <w:lang w:eastAsia="de-DE"/>
        </w:rPr>
        <w:t xml:space="preserve"> erzielt</w:t>
      </w:r>
      <w:r w:rsidR="00301BB0" w:rsidRPr="003A7CAF">
        <w:rPr>
          <w:rFonts w:ascii="Noto Sans" w:eastAsia="Times New Roman" w:hAnsi="Noto Sans" w:cs="Arial"/>
          <w:color w:val="000000" w:themeColor="text1"/>
          <w:szCs w:val="20"/>
          <w:lang w:eastAsia="de-DE"/>
        </w:rPr>
        <w:t xml:space="preserve"> einen</w:t>
      </w:r>
      <w:r w:rsidRPr="003A7CAF">
        <w:rPr>
          <w:rFonts w:ascii="Noto Sans" w:eastAsia="Times New Roman" w:hAnsi="Noto Sans" w:cs="Arial"/>
          <w:color w:val="000000" w:themeColor="text1"/>
          <w:szCs w:val="20"/>
          <w:lang w:eastAsia="de-DE"/>
        </w:rPr>
        <w:t xml:space="preserve"> Gesamtwirkungsgrad von 103,1 % (34,5 % elektrisch, 68,6 % thermisch)</w:t>
      </w:r>
      <w:r w:rsidR="00301BB0" w:rsidRPr="003A7CAF">
        <w:rPr>
          <w:rFonts w:ascii="Noto Sans" w:eastAsia="Times New Roman" w:hAnsi="Noto Sans" w:cs="Arial"/>
          <w:color w:val="000000" w:themeColor="text1"/>
          <w:szCs w:val="20"/>
          <w:lang w:eastAsia="de-DE"/>
        </w:rPr>
        <w:t xml:space="preserve">. </w:t>
      </w:r>
      <w:r w:rsidR="00301BB0" w:rsidRPr="003A7CAF">
        <w:rPr>
          <w:rFonts w:ascii="Noto Sans" w:eastAsia="Times New Roman" w:hAnsi="Noto Sans" w:cs="Arial"/>
          <w:szCs w:val="20"/>
          <w:lang w:eastAsia="de-DE"/>
        </w:rPr>
        <w:t>Alfred Gayer identifiziert für die</w:t>
      </w:r>
      <w:r w:rsidR="00301BB0" w:rsidRPr="003A7CAF">
        <w:rPr>
          <w:rFonts w:ascii="Noto Sans" w:eastAsia="Times New Roman" w:hAnsi="Noto Sans" w:cs="Arial"/>
          <w:color w:val="000000" w:themeColor="text1"/>
          <w:szCs w:val="20"/>
          <w:lang w:eastAsia="de-DE"/>
        </w:rPr>
        <w:t xml:space="preserve"> im April 2017 vorgestellte Hochtemperaturvariante g-box 50 HT</w:t>
      </w:r>
      <w:r w:rsidR="00301BB0" w:rsidRPr="003A7CAF">
        <w:rPr>
          <w:rFonts w:ascii="Noto Sans" w:eastAsia="Times New Roman" w:hAnsi="Noto Sans" w:cs="Arial"/>
          <w:szCs w:val="20"/>
          <w:lang w:eastAsia="de-DE"/>
        </w:rPr>
        <w:t xml:space="preserve"> eine Vielzahl von </w:t>
      </w:r>
      <w:r w:rsidR="00E776A5" w:rsidRPr="003A7CAF">
        <w:rPr>
          <w:rFonts w:ascii="Noto Sans" w:eastAsia="Times New Roman" w:hAnsi="Noto Sans" w:cs="Arial"/>
          <w:szCs w:val="20"/>
          <w:lang w:eastAsia="de-DE"/>
        </w:rPr>
        <w:t xml:space="preserve">erweiterten </w:t>
      </w:r>
      <w:r w:rsidR="00301BB0" w:rsidRPr="003A7CAF">
        <w:rPr>
          <w:rFonts w:ascii="Noto Sans" w:eastAsia="Times New Roman" w:hAnsi="Noto Sans" w:cs="Arial"/>
          <w:szCs w:val="20"/>
          <w:lang w:eastAsia="de-DE"/>
        </w:rPr>
        <w:lastRenderedPageBreak/>
        <w:t>Einsatzmöglichkeiten: „Überall dort, wo die Rücklauftemperatur in einem Heizkreis über 70 Grad Celsius liegt, kann die g-box 50 HT ideal zum Einsatz kommen. Das betrifft z.B. Krankenhäuser und Altenheime oder auch die Industrie, wo ein vom Standard abweichendes höheres Temperaturniveau der Einspeisung bis 95 Grad Celsius erforderlich ist. Den zweiten idealtypischen Einsatzbereich sehen wir in der Kopplung z.B. mit einer Absorptionskältemaschine. Da die Effizienz einer Sorptionsanlage mit dem Temperaturniveau der verfügbaren Wärme steigt, gewinnt die Kraft-Wärme-Kälte-Kopplung (KWKK) auch wirtschaftlich an Attraktivität.“</w:t>
      </w:r>
    </w:p>
    <w:p w14:paraId="20D54965" w14:textId="4A0FC3DF" w:rsidR="00063358" w:rsidRDefault="000143AC" w:rsidP="000143AC">
      <w:pPr>
        <w:spacing w:before="100" w:beforeAutospacing="1" w:after="100" w:afterAutospacing="1" w:line="240" w:lineRule="auto"/>
        <w:ind w:left="0"/>
        <w:rPr>
          <w:rFonts w:ascii="Noto Sans" w:eastAsia="Times New Roman" w:hAnsi="Noto Sans" w:cs="Arial"/>
          <w:color w:val="000000" w:themeColor="text1"/>
          <w:szCs w:val="20"/>
          <w:lang w:eastAsia="de-DE"/>
        </w:rPr>
      </w:pPr>
      <w:r>
        <w:rPr>
          <w:rFonts w:ascii="Noto Sans" w:eastAsia="Times New Roman" w:hAnsi="Noto Sans" w:cs="Arial"/>
          <w:szCs w:val="20"/>
          <w:lang w:eastAsia="de-DE"/>
        </w:rPr>
        <w:t xml:space="preserve">Bild </w:t>
      </w:r>
      <w:r w:rsidRPr="000143AC">
        <w:rPr>
          <w:rFonts w:ascii="Noto Sans" w:eastAsia="Times New Roman" w:hAnsi="Noto Sans" w:cs="Arial"/>
          <w:szCs w:val="20"/>
          <w:lang w:eastAsia="de-DE"/>
        </w:rPr>
        <w:t>Alfred_Gayer_Vertriebsleiter_2G_Energy_H.JPG</w:t>
      </w:r>
      <w:r>
        <w:rPr>
          <w:rFonts w:ascii="Noto Sans" w:eastAsia="Times New Roman" w:hAnsi="Noto Sans" w:cs="Arial"/>
          <w:szCs w:val="20"/>
          <w:lang w:eastAsia="de-DE"/>
        </w:rPr>
        <w:t>:</w:t>
      </w:r>
      <w:r>
        <w:rPr>
          <w:rFonts w:ascii="Noto Sans" w:eastAsia="Times New Roman" w:hAnsi="Noto Sans" w:cs="Arial"/>
          <w:szCs w:val="20"/>
          <w:lang w:eastAsia="de-DE"/>
        </w:rPr>
        <w:br/>
      </w:r>
      <w:r w:rsidR="00063358">
        <w:rPr>
          <w:rFonts w:ascii="Noto Sans" w:eastAsia="Times New Roman" w:hAnsi="Noto Sans" w:cs="Arial"/>
          <w:szCs w:val="20"/>
          <w:lang w:eastAsia="de-DE"/>
        </w:rPr>
        <w:t xml:space="preserve">Bildlegende: Alfred Gayer, </w:t>
      </w:r>
      <w:r w:rsidR="00063358" w:rsidRPr="003A7CAF">
        <w:rPr>
          <w:rFonts w:ascii="Noto Sans" w:eastAsia="Times New Roman" w:hAnsi="Noto Sans" w:cs="Arial"/>
          <w:color w:val="000000" w:themeColor="text1"/>
          <w:szCs w:val="20"/>
          <w:lang w:eastAsia="de-DE"/>
        </w:rPr>
        <w:t>Vertriebsleiter von 2G und Geschäftsführer der 2G Rental GmbH</w:t>
      </w:r>
      <w:r w:rsidR="00063358">
        <w:rPr>
          <w:rFonts w:ascii="Noto Sans" w:eastAsia="Times New Roman" w:hAnsi="Noto Sans" w:cs="Arial"/>
          <w:color w:val="000000" w:themeColor="text1"/>
          <w:szCs w:val="20"/>
          <w:lang w:eastAsia="de-DE"/>
        </w:rPr>
        <w:t>.</w:t>
      </w:r>
    </w:p>
    <w:p w14:paraId="2593A42A" w14:textId="00170DEB" w:rsidR="00D2097B" w:rsidRDefault="000143AC" w:rsidP="000143AC">
      <w:pPr>
        <w:spacing w:before="100" w:beforeAutospacing="1" w:after="100" w:afterAutospacing="1" w:line="240" w:lineRule="auto"/>
        <w:ind w:left="0"/>
        <w:rPr>
          <w:rFonts w:ascii="Noto Sans" w:eastAsia="Times New Roman" w:hAnsi="Noto Sans" w:cs="Arial"/>
          <w:szCs w:val="20"/>
          <w:lang w:eastAsia="de-DE"/>
        </w:rPr>
      </w:pPr>
      <w:r>
        <w:rPr>
          <w:rFonts w:ascii="Noto Sans" w:eastAsia="Times New Roman" w:hAnsi="Noto Sans" w:cs="Arial"/>
          <w:noProof/>
          <w:color w:val="000000" w:themeColor="text1"/>
          <w:szCs w:val="20"/>
          <w:lang w:eastAsia="de-DE"/>
        </w:rPr>
        <w:t xml:space="preserve">Bild </w:t>
      </w:r>
      <w:r w:rsidRPr="000143AC">
        <w:rPr>
          <w:rFonts w:ascii="Noto Sans" w:eastAsia="Times New Roman" w:hAnsi="Noto Sans" w:cs="Arial"/>
          <w:noProof/>
          <w:color w:val="000000" w:themeColor="text1"/>
          <w:szCs w:val="20"/>
          <w:lang w:eastAsia="de-DE"/>
        </w:rPr>
        <w:t>Muster_2G_Jahreslastgang_Waerme-Strom.jpg</w:t>
      </w:r>
      <w:r>
        <w:rPr>
          <w:rFonts w:ascii="Noto Sans" w:eastAsia="Times New Roman" w:hAnsi="Noto Sans" w:cs="Arial"/>
          <w:noProof/>
          <w:color w:val="000000" w:themeColor="text1"/>
          <w:szCs w:val="20"/>
          <w:lang w:eastAsia="de-DE"/>
        </w:rPr>
        <w:t>:</w:t>
      </w:r>
      <w:r>
        <w:rPr>
          <w:rFonts w:ascii="Noto Sans" w:eastAsia="Times New Roman" w:hAnsi="Noto Sans" w:cs="Arial"/>
          <w:noProof/>
          <w:color w:val="000000" w:themeColor="text1"/>
          <w:szCs w:val="20"/>
          <w:lang w:eastAsia="de-DE"/>
        </w:rPr>
        <w:br/>
      </w:r>
      <w:r w:rsidR="00063358">
        <w:rPr>
          <w:rFonts w:ascii="Noto Sans" w:eastAsia="Times New Roman" w:hAnsi="Noto Sans" w:cs="Arial"/>
          <w:szCs w:val="20"/>
          <w:lang w:eastAsia="de-DE"/>
        </w:rPr>
        <w:t>Bildlegende: Muster Jahreslastgang für Wärme und Strom</w:t>
      </w:r>
      <w:r w:rsidR="00A05EE5">
        <w:rPr>
          <w:rFonts w:ascii="Noto Sans" w:eastAsia="Times New Roman" w:hAnsi="Noto Sans" w:cs="Arial"/>
          <w:szCs w:val="20"/>
          <w:lang w:eastAsia="de-DE"/>
        </w:rPr>
        <w:t>.</w:t>
      </w:r>
    </w:p>
    <w:p w14:paraId="24243C9C" w14:textId="71F4E561" w:rsidR="00063358" w:rsidRDefault="000143AC" w:rsidP="000143AC">
      <w:pPr>
        <w:spacing w:before="100" w:beforeAutospacing="1" w:after="100" w:afterAutospacing="1" w:line="240" w:lineRule="auto"/>
        <w:ind w:left="0"/>
        <w:rPr>
          <w:rFonts w:ascii="Noto Sans" w:eastAsia="Times New Roman" w:hAnsi="Noto Sans" w:cs="Arial"/>
          <w:szCs w:val="20"/>
          <w:lang w:eastAsia="de-DE"/>
        </w:rPr>
      </w:pPr>
      <w:r w:rsidRPr="000143AC">
        <w:rPr>
          <w:rFonts w:ascii="Noto Sans" w:eastAsia="Times New Roman" w:hAnsi="Noto Sans" w:cs="Arial"/>
          <w:szCs w:val="20"/>
          <w:lang w:eastAsia="de-DE"/>
        </w:rPr>
        <w:t>Test-BHKW_StromabdeckungTag.jpg</w:t>
      </w:r>
      <w:r>
        <w:rPr>
          <w:rFonts w:ascii="Noto Sans" w:eastAsia="Times New Roman" w:hAnsi="Noto Sans" w:cs="Arial"/>
          <w:szCs w:val="20"/>
          <w:lang w:eastAsia="de-DE"/>
        </w:rPr>
        <w:t>:</w:t>
      </w:r>
      <w:r>
        <w:rPr>
          <w:rFonts w:ascii="Noto Sans" w:eastAsia="Times New Roman" w:hAnsi="Noto Sans" w:cs="Arial"/>
          <w:szCs w:val="20"/>
          <w:lang w:eastAsia="de-DE"/>
        </w:rPr>
        <w:br/>
      </w:r>
      <w:r w:rsidR="00063358">
        <w:rPr>
          <w:rFonts w:ascii="Noto Sans" w:eastAsia="Times New Roman" w:hAnsi="Noto Sans" w:cs="Arial"/>
          <w:szCs w:val="20"/>
          <w:lang w:eastAsia="de-DE"/>
        </w:rPr>
        <w:t xml:space="preserve">Bildlegende: Beispiel Stromabdeckung durch </w:t>
      </w:r>
      <w:r w:rsidR="00A05EE5">
        <w:rPr>
          <w:rFonts w:ascii="Noto Sans" w:eastAsia="Times New Roman" w:hAnsi="Noto Sans" w:cs="Arial"/>
          <w:szCs w:val="20"/>
          <w:lang w:eastAsia="de-DE"/>
        </w:rPr>
        <w:t xml:space="preserve">ein </w:t>
      </w:r>
      <w:r w:rsidR="00063358">
        <w:rPr>
          <w:rFonts w:ascii="Noto Sans" w:eastAsia="Times New Roman" w:hAnsi="Noto Sans" w:cs="Arial"/>
          <w:szCs w:val="20"/>
          <w:lang w:eastAsia="de-DE"/>
        </w:rPr>
        <w:t xml:space="preserve">BHKW sowie Fremdbezug und Einspeisung in das Stromnetz. </w:t>
      </w:r>
    </w:p>
    <w:p w14:paraId="5B10A3E3" w14:textId="77777777" w:rsidR="000143AC" w:rsidRDefault="000143AC" w:rsidP="000F4393">
      <w:pPr>
        <w:ind w:left="0"/>
        <w:rPr>
          <w:rFonts w:ascii="Noto Sans" w:hAnsi="Noto Sans" w:cs="Arial"/>
          <w:b/>
          <w:color w:val="0D0D0D" w:themeColor="text1" w:themeTint="F2"/>
          <w:szCs w:val="20"/>
        </w:rPr>
      </w:pPr>
    </w:p>
    <w:p w14:paraId="5FF39C6E" w14:textId="77777777" w:rsidR="00EB1E1F" w:rsidRPr="003A7CAF" w:rsidRDefault="00EB1E1F" w:rsidP="000F4393">
      <w:pPr>
        <w:ind w:left="0"/>
        <w:rPr>
          <w:rFonts w:ascii="Noto Sans" w:hAnsi="Noto Sans" w:cs="Arial"/>
          <w:b/>
          <w:color w:val="0D0D0D" w:themeColor="text1" w:themeTint="F2"/>
          <w:szCs w:val="20"/>
        </w:rPr>
      </w:pPr>
      <w:r w:rsidRPr="003A7CAF">
        <w:rPr>
          <w:rFonts w:ascii="Noto Sans" w:hAnsi="Noto Sans" w:cs="Arial"/>
          <w:b/>
          <w:color w:val="0D0D0D" w:themeColor="text1" w:themeTint="F2"/>
          <w:szCs w:val="20"/>
        </w:rPr>
        <w:t xml:space="preserve">Unternehmensprofil 2G </w:t>
      </w:r>
      <w:proofErr w:type="spellStart"/>
      <w:r w:rsidRPr="003A7CAF">
        <w:rPr>
          <w:rFonts w:ascii="Noto Sans" w:hAnsi="Noto Sans" w:cs="Arial"/>
          <w:b/>
          <w:color w:val="0D0D0D" w:themeColor="text1" w:themeTint="F2"/>
          <w:szCs w:val="20"/>
        </w:rPr>
        <w:t>Energy</w:t>
      </w:r>
      <w:proofErr w:type="spellEnd"/>
      <w:r w:rsidRPr="003A7CAF">
        <w:rPr>
          <w:rFonts w:ascii="Noto Sans" w:hAnsi="Noto Sans" w:cs="Arial"/>
          <w:b/>
          <w:color w:val="0D0D0D" w:themeColor="text1" w:themeTint="F2"/>
          <w:szCs w:val="20"/>
        </w:rPr>
        <w:t xml:space="preserve"> AG</w:t>
      </w:r>
    </w:p>
    <w:p w14:paraId="1FC517AE" w14:textId="77777777" w:rsidR="006C63F3"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3A7CAF">
        <w:rPr>
          <w:rFonts w:ascii="Noto Sans" w:eastAsia="Times New Roman" w:hAnsi="Noto Sans" w:cs="Arial"/>
          <w:szCs w:val="20"/>
          <w:lang w:eastAsia="de-DE"/>
        </w:rPr>
        <w:t xml:space="preserve">Die 2G </w:t>
      </w:r>
      <w:proofErr w:type="spellStart"/>
      <w:r w:rsidRPr="003A7CAF">
        <w:rPr>
          <w:rFonts w:ascii="Noto Sans" w:eastAsia="Times New Roman" w:hAnsi="Noto Sans" w:cs="Arial"/>
          <w:szCs w:val="20"/>
          <w:lang w:eastAsia="de-DE"/>
        </w:rPr>
        <w:t>Energy</w:t>
      </w:r>
      <w:proofErr w:type="spellEnd"/>
      <w:r w:rsidRPr="003A7CAF">
        <w:rPr>
          <w:rFonts w:ascii="Noto Sans" w:eastAsia="Times New Roman" w:hAnsi="Noto Sans" w:cs="Arial"/>
          <w:szCs w:val="20"/>
          <w:lang w:eastAsia="de-DE"/>
        </w:rPr>
        <w:t xml:space="preserve">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sidRPr="003A7CAF">
        <w:rPr>
          <w:rFonts w:ascii="Noto Sans" w:eastAsia="Times New Roman" w:hAnsi="Noto Sans" w:cs="Arial"/>
          <w:szCs w:val="20"/>
          <w:lang w:eastAsia="de-DE"/>
        </w:rPr>
        <w:t> </w:t>
      </w:r>
      <w:r w:rsidRPr="003A7CAF">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w:t>
      </w:r>
      <w:proofErr w:type="spellStart"/>
      <w:r w:rsidRPr="003A7CAF">
        <w:rPr>
          <w:rFonts w:ascii="Noto Sans" w:eastAsia="Times New Roman" w:hAnsi="Noto Sans" w:cs="Arial"/>
          <w:szCs w:val="20"/>
          <w:lang w:eastAsia="de-DE"/>
        </w:rPr>
        <w:t>Heek</w:t>
      </w:r>
      <w:proofErr w:type="spellEnd"/>
      <w:r w:rsidRPr="003A7CAF">
        <w:rPr>
          <w:rFonts w:ascii="Noto Sans" w:eastAsia="Times New Roman" w:hAnsi="Noto Sans" w:cs="Arial"/>
          <w:szCs w:val="20"/>
          <w:lang w:eastAsia="de-DE"/>
        </w:rPr>
        <w:t xml:space="preserve"> hat 2G einen weiteren Produktions- und Vertriebs- &amp; Service-Standort in </w:t>
      </w:r>
      <w:r w:rsidRPr="003A7CAF">
        <w:rPr>
          <w:rFonts w:ascii="Noto Sans" w:eastAsia="Times New Roman" w:hAnsi="Noto Sans" w:cs="Arial"/>
          <w:spacing w:val="-2"/>
          <w:szCs w:val="20"/>
          <w:lang w:eastAsia="de-DE"/>
        </w:rPr>
        <w:t>St.</w:t>
      </w:r>
      <w:r w:rsidR="000C42A7" w:rsidRPr="003A7CAF">
        <w:rPr>
          <w:rFonts w:ascii="Noto Sans" w:eastAsia="Times New Roman" w:hAnsi="Noto Sans" w:cs="Arial"/>
          <w:spacing w:val="-2"/>
          <w:szCs w:val="20"/>
          <w:lang w:eastAsia="de-DE"/>
        </w:rPr>
        <w:t> </w:t>
      </w:r>
      <w:r w:rsidRPr="003A7CAF">
        <w:rPr>
          <w:rFonts w:ascii="Noto Sans" w:eastAsia="Times New Roman" w:hAnsi="Noto Sans" w:cs="Arial"/>
          <w:spacing w:val="-2"/>
          <w:szCs w:val="20"/>
          <w:lang w:eastAsia="de-DE"/>
        </w:rPr>
        <w:t>Augustine, Florida, USA. Das Kundenspektrum reicht vom Landwirt über Industriebetriebe, Kommunen</w:t>
      </w:r>
      <w:r w:rsidRPr="003A7CAF">
        <w:rPr>
          <w:rFonts w:ascii="Noto Sans" w:eastAsia="Times New Roman" w:hAnsi="Noto Sans" w:cs="Arial"/>
          <w:szCs w:val="20"/>
          <w:lang w:eastAsia="de-DE"/>
        </w:rPr>
        <w:t>,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14:paraId="53F99190" w14:textId="77777777" w:rsidR="00A05EE5" w:rsidRDefault="00A05EE5" w:rsidP="009005B4">
      <w:pPr>
        <w:spacing w:before="100" w:beforeAutospacing="1" w:after="100" w:afterAutospacing="1" w:line="240" w:lineRule="auto"/>
        <w:ind w:left="0"/>
        <w:jc w:val="both"/>
        <w:rPr>
          <w:rFonts w:ascii="Noto Sans" w:eastAsia="Times New Roman" w:hAnsi="Noto Sans" w:cs="Arial"/>
          <w:szCs w:val="20"/>
          <w:lang w:eastAsia="de-DE"/>
        </w:rPr>
      </w:pPr>
    </w:p>
    <w:p w14:paraId="285216BC" w14:textId="286C19CD" w:rsidR="000143AC" w:rsidRDefault="000143AC">
      <w:pPr>
        <w:spacing w:after="200"/>
        <w:ind w:left="0"/>
        <w:rPr>
          <w:rFonts w:ascii="Noto Sans" w:eastAsia="Times New Roman" w:hAnsi="Noto Sans" w:cs="Arial"/>
          <w:szCs w:val="20"/>
          <w:lang w:eastAsia="de-DE"/>
        </w:rPr>
      </w:pPr>
      <w:r>
        <w:rPr>
          <w:rFonts w:ascii="Noto Sans" w:eastAsia="Times New Roman" w:hAnsi="Noto Sans" w:cs="Arial"/>
          <w:szCs w:val="20"/>
          <w:lang w:eastAsia="de-DE"/>
        </w:rPr>
        <w:br w:type="page"/>
      </w:r>
    </w:p>
    <w:p w14:paraId="672A4161" w14:textId="77777777" w:rsidR="00EB1E1F" w:rsidRPr="003A7CAF" w:rsidRDefault="00EB1E1F" w:rsidP="00EB1E1F">
      <w:pPr>
        <w:spacing w:before="480"/>
        <w:ind w:left="851"/>
        <w:jc w:val="both"/>
        <w:rPr>
          <w:rFonts w:ascii="Noto Sans" w:hAnsi="Noto Sans"/>
          <w:b/>
        </w:rPr>
      </w:pPr>
      <w:r w:rsidRPr="003A7CAF">
        <w:rPr>
          <w:rFonts w:ascii="Noto Sans" w:hAnsi="Noto Sans"/>
          <w:b/>
        </w:rPr>
        <w:lastRenderedPageBreak/>
        <w:t>Ansprechpartner:</w:t>
      </w:r>
    </w:p>
    <w:p w14:paraId="5B1B17E7" w14:textId="77777777" w:rsidR="00EB1E1F" w:rsidRPr="003A7CAF" w:rsidRDefault="00EB1E1F" w:rsidP="00EB1E1F">
      <w:pPr>
        <w:tabs>
          <w:tab w:val="left" w:pos="1701"/>
        </w:tabs>
        <w:spacing w:line="240" w:lineRule="auto"/>
        <w:ind w:left="851"/>
        <w:rPr>
          <w:rFonts w:ascii="Noto Sans" w:hAnsi="Noto Sans"/>
        </w:rPr>
        <w:sectPr w:rsidR="00EB1E1F" w:rsidRPr="003A7CAF" w:rsidSect="00F655B6">
          <w:headerReference w:type="even" r:id="rId9"/>
          <w:footerReference w:type="even" r:id="rId10"/>
          <w:type w:val="continuous"/>
          <w:pgSz w:w="11906" w:h="16838"/>
          <w:pgMar w:top="1985" w:right="1021" w:bottom="1560" w:left="1021" w:header="1134" w:footer="227" w:gutter="0"/>
          <w:cols w:space="708"/>
          <w:docGrid w:linePitch="360"/>
        </w:sectPr>
      </w:pPr>
    </w:p>
    <w:p w14:paraId="3970E7D0" w14:textId="77777777" w:rsidR="00EB1E1F" w:rsidRPr="003A7CAF" w:rsidRDefault="00EB1E1F" w:rsidP="00EB1E1F">
      <w:pPr>
        <w:tabs>
          <w:tab w:val="left" w:pos="1701"/>
        </w:tabs>
        <w:spacing w:line="240" w:lineRule="auto"/>
        <w:ind w:left="851"/>
        <w:rPr>
          <w:rFonts w:ascii="Noto Sans" w:hAnsi="Noto Sans"/>
        </w:rPr>
      </w:pPr>
      <w:r w:rsidRPr="003A7CAF">
        <w:rPr>
          <w:rFonts w:ascii="Noto Sans" w:hAnsi="Noto Sans"/>
        </w:rPr>
        <w:lastRenderedPageBreak/>
        <w:t xml:space="preserve">Stefan </w:t>
      </w:r>
      <w:proofErr w:type="spellStart"/>
      <w:r w:rsidRPr="003A7CAF">
        <w:rPr>
          <w:rFonts w:ascii="Noto Sans" w:hAnsi="Noto Sans"/>
        </w:rPr>
        <w:t>Liesner</w:t>
      </w:r>
      <w:proofErr w:type="spellEnd"/>
      <w:r w:rsidRPr="003A7CAF">
        <w:rPr>
          <w:rFonts w:ascii="Noto Sans" w:hAnsi="Noto Sans"/>
        </w:rPr>
        <w:br/>
        <w:t xml:space="preserve">2G </w:t>
      </w:r>
      <w:proofErr w:type="spellStart"/>
      <w:r w:rsidRPr="003A7CAF">
        <w:rPr>
          <w:rFonts w:ascii="Noto Sans" w:hAnsi="Noto Sans"/>
        </w:rPr>
        <w:t>Energy</w:t>
      </w:r>
      <w:proofErr w:type="spellEnd"/>
      <w:r w:rsidRPr="003A7CAF">
        <w:rPr>
          <w:rFonts w:ascii="Noto Sans" w:hAnsi="Noto Sans"/>
        </w:rPr>
        <w:t xml:space="preserve"> AG</w:t>
      </w:r>
      <w:r w:rsidRPr="003A7CAF">
        <w:rPr>
          <w:rFonts w:ascii="Noto Sans" w:hAnsi="Noto Sans"/>
        </w:rPr>
        <w:br/>
        <w:t>Leiter Marketing</w:t>
      </w:r>
      <w:r w:rsidRPr="003A7CAF">
        <w:rPr>
          <w:rFonts w:ascii="Noto Sans" w:hAnsi="Noto Sans"/>
        </w:rPr>
        <w:br/>
        <w:t>Benzstraße 3</w:t>
      </w:r>
      <w:r w:rsidRPr="003A7CAF">
        <w:rPr>
          <w:rFonts w:ascii="Noto Sans" w:hAnsi="Noto Sans"/>
        </w:rPr>
        <w:br/>
        <w:t xml:space="preserve">48619 </w:t>
      </w:r>
      <w:proofErr w:type="spellStart"/>
      <w:r w:rsidRPr="003A7CAF">
        <w:rPr>
          <w:rFonts w:ascii="Noto Sans" w:hAnsi="Noto Sans"/>
        </w:rPr>
        <w:t>Heek</w:t>
      </w:r>
      <w:proofErr w:type="spellEnd"/>
      <w:r w:rsidRPr="003A7CAF">
        <w:rPr>
          <w:rFonts w:ascii="Noto Sans" w:hAnsi="Noto Sans"/>
        </w:rPr>
        <w:br/>
        <w:t>Telefon:</w:t>
      </w:r>
      <w:r w:rsidRPr="003A7CAF">
        <w:rPr>
          <w:rFonts w:ascii="Noto Sans" w:hAnsi="Noto Sans"/>
        </w:rPr>
        <w:tab/>
        <w:t>+49 2568 9347-2135</w:t>
      </w:r>
      <w:r w:rsidRPr="003A7CAF">
        <w:rPr>
          <w:rFonts w:ascii="Noto Sans" w:hAnsi="Noto Sans"/>
        </w:rPr>
        <w:br/>
        <w:t>Telefax:</w:t>
      </w:r>
      <w:r w:rsidRPr="003A7CAF">
        <w:rPr>
          <w:rFonts w:ascii="Noto Sans" w:hAnsi="Noto Sans"/>
        </w:rPr>
        <w:tab/>
        <w:t>+49 2568 9347-15</w:t>
      </w:r>
      <w:r w:rsidRPr="003A7CAF">
        <w:rPr>
          <w:rFonts w:ascii="Noto Sans" w:hAnsi="Noto Sans"/>
        </w:rPr>
        <w:br/>
        <w:t>Mobil:</w:t>
      </w:r>
      <w:r w:rsidRPr="003A7CAF">
        <w:rPr>
          <w:rFonts w:ascii="Noto Sans" w:hAnsi="Noto Sans"/>
        </w:rPr>
        <w:tab/>
        <w:t>+49 152 22592847</w:t>
      </w:r>
      <w:r w:rsidRPr="003A7CAF">
        <w:rPr>
          <w:rFonts w:ascii="Noto Sans" w:hAnsi="Noto Sans"/>
        </w:rPr>
        <w:br/>
        <w:t>E-Mail:</w:t>
      </w:r>
      <w:r w:rsidRPr="003A7CAF">
        <w:rPr>
          <w:rFonts w:ascii="Noto Sans" w:hAnsi="Noto Sans"/>
        </w:rPr>
        <w:tab/>
        <w:t>s.liesner@2-g.de</w:t>
      </w:r>
      <w:r w:rsidRPr="003A7CAF">
        <w:rPr>
          <w:rFonts w:ascii="Noto Sans" w:hAnsi="Noto Sans"/>
        </w:rPr>
        <w:br/>
        <w:t>www.2-g.de</w:t>
      </w:r>
    </w:p>
    <w:p w14:paraId="3B79E9CF" w14:textId="77777777" w:rsidR="00EB1E1F" w:rsidRPr="00B1355E" w:rsidRDefault="00EB1E1F" w:rsidP="00EB1E1F">
      <w:pPr>
        <w:tabs>
          <w:tab w:val="left" w:pos="1134"/>
        </w:tabs>
        <w:spacing w:line="240" w:lineRule="auto"/>
        <w:ind w:left="284"/>
        <w:rPr>
          <w:rFonts w:ascii="Noto Sans" w:hAnsi="Noto Sans"/>
        </w:rPr>
      </w:pPr>
      <w:r w:rsidRPr="003A7CAF">
        <w:rPr>
          <w:rFonts w:ascii="Noto Sans" w:hAnsi="Noto Sans"/>
        </w:rPr>
        <w:br w:type="column"/>
      </w:r>
      <w:r w:rsidRPr="003A7CAF">
        <w:rPr>
          <w:rFonts w:ascii="Noto Sans" w:hAnsi="Noto Sans"/>
        </w:rPr>
        <w:lastRenderedPageBreak/>
        <w:t>Rüdiger Haake</w:t>
      </w:r>
      <w:r w:rsidRPr="003A7CAF">
        <w:rPr>
          <w:rFonts w:ascii="Noto Sans" w:hAnsi="Noto Sans"/>
        </w:rPr>
        <w:br/>
        <w:t xml:space="preserve">Zum </w:t>
      </w:r>
      <w:proofErr w:type="spellStart"/>
      <w:r w:rsidRPr="003A7CAF">
        <w:rPr>
          <w:rFonts w:ascii="Noto Sans" w:hAnsi="Noto Sans"/>
        </w:rPr>
        <w:t>Imberg</w:t>
      </w:r>
      <w:proofErr w:type="spellEnd"/>
      <w:r w:rsidRPr="003A7CAF">
        <w:rPr>
          <w:rFonts w:ascii="Noto Sans" w:hAnsi="Noto Sans"/>
        </w:rPr>
        <w:t xml:space="preserve"> 20</w:t>
      </w:r>
      <w:r w:rsidRPr="003A7CAF">
        <w:rPr>
          <w:rFonts w:ascii="Noto Sans" w:hAnsi="Noto Sans"/>
        </w:rPr>
        <w:br/>
        <w:t>45721 Haltern am See</w:t>
      </w:r>
      <w:r w:rsidRPr="003A7CAF">
        <w:rPr>
          <w:rFonts w:ascii="Noto Sans" w:hAnsi="Noto Sans"/>
        </w:rPr>
        <w:br/>
        <w:t>Telefon:</w:t>
      </w:r>
      <w:r w:rsidRPr="003A7CAF">
        <w:rPr>
          <w:rFonts w:ascii="Noto Sans" w:hAnsi="Noto Sans"/>
        </w:rPr>
        <w:tab/>
        <w:t>+49 2364 1056141</w:t>
      </w:r>
      <w:r w:rsidRPr="003A7CAF">
        <w:rPr>
          <w:rFonts w:ascii="Noto Sans" w:hAnsi="Noto Sans"/>
        </w:rPr>
        <w:br/>
        <w:t>Telefax:</w:t>
      </w:r>
      <w:r w:rsidRPr="003A7CAF">
        <w:rPr>
          <w:rFonts w:ascii="Noto Sans" w:hAnsi="Noto Sans"/>
        </w:rPr>
        <w:tab/>
        <w:t>+49 2364 5089786</w:t>
      </w:r>
      <w:r w:rsidRPr="003A7CAF">
        <w:rPr>
          <w:rFonts w:ascii="Noto Sans" w:hAnsi="Noto Sans"/>
        </w:rPr>
        <w:br/>
        <w:t>Mobil:</w:t>
      </w:r>
      <w:r w:rsidRPr="003A7CAF">
        <w:rPr>
          <w:rFonts w:ascii="Noto Sans" w:hAnsi="Noto Sans"/>
        </w:rPr>
        <w:tab/>
        <w:t>+49 172 6905563</w:t>
      </w:r>
      <w:r w:rsidRPr="003A7CAF">
        <w:rPr>
          <w:rFonts w:ascii="Noto Sans" w:hAnsi="Noto Sans"/>
        </w:rPr>
        <w:br/>
        <w:t>E-Mail:</w:t>
      </w:r>
      <w:r w:rsidRPr="003A7CAF">
        <w:rPr>
          <w:rFonts w:ascii="Noto Sans" w:hAnsi="Noto Sans"/>
        </w:rPr>
        <w:tab/>
        <w:t>ruediger.haake@web.</w:t>
      </w:r>
      <w:r w:rsidRPr="00B1355E">
        <w:rPr>
          <w:rFonts w:ascii="Noto Sans" w:hAnsi="Noto Sans"/>
        </w:rPr>
        <w:t>de</w:t>
      </w:r>
      <w:bookmarkStart w:id="0" w:name="_GoBack"/>
      <w:bookmarkEnd w:id="0"/>
    </w:p>
    <w:sectPr w:rsidR="00EB1E1F" w:rsidRPr="00B1355E"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49694" w14:textId="77777777" w:rsidR="009A46E0" w:rsidRDefault="009A46E0" w:rsidP="00E945DC">
      <w:pPr>
        <w:spacing w:after="0" w:line="240" w:lineRule="auto"/>
      </w:pPr>
      <w:r>
        <w:separator/>
      </w:r>
    </w:p>
  </w:endnote>
  <w:endnote w:type="continuationSeparator" w:id="0">
    <w:p w14:paraId="32F9E3B5" w14:textId="77777777" w:rsidR="009A46E0" w:rsidRDefault="009A46E0"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Arial"/>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14:paraId="05071959" w14:textId="77777777" w:rsidTr="001637D7">
          <w:trPr>
            <w:trHeight w:val="18"/>
          </w:trPr>
          <w:tc>
            <w:tcPr>
              <w:tcW w:w="4400" w:type="dxa"/>
              <w:tcMar>
                <w:top w:w="57" w:type="dxa"/>
                <w:left w:w="0" w:type="dxa"/>
                <w:right w:w="0" w:type="dxa"/>
              </w:tcMar>
            </w:tcPr>
            <w:p w14:paraId="2EEF6EB1" w14:textId="77777777" w:rsidR="009005B4" w:rsidRPr="00177073" w:rsidRDefault="000143AC"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394212" w:rsidRPr="00177073">
                    <w:rPr>
                      <w:rFonts w:ascii="Noto Sans" w:hAnsi="Noto Sans"/>
                      <w:bCs/>
                    </w:rPr>
                    <w:fldChar w:fldCharType="begin"/>
                  </w:r>
                  <w:r w:rsidR="009005B4" w:rsidRPr="00177073">
                    <w:rPr>
                      <w:rFonts w:ascii="Noto Sans" w:hAnsi="Noto Sans"/>
                      <w:bCs/>
                    </w:rPr>
                    <w:instrText>PAGE</w:instrText>
                  </w:r>
                  <w:r w:rsidR="00394212" w:rsidRPr="00177073">
                    <w:rPr>
                      <w:rFonts w:ascii="Noto Sans" w:hAnsi="Noto Sans"/>
                      <w:bCs/>
                    </w:rPr>
                    <w:fldChar w:fldCharType="separate"/>
                  </w:r>
                  <w:r w:rsidR="009005B4">
                    <w:rPr>
                      <w:rFonts w:ascii="Noto Sans" w:hAnsi="Noto Sans"/>
                      <w:bCs/>
                      <w:noProof/>
                    </w:rPr>
                    <w:t>2</w:t>
                  </w:r>
                  <w:r w:rsidR="00394212" w:rsidRPr="00177073">
                    <w:rPr>
                      <w:rFonts w:ascii="Noto Sans" w:hAnsi="Noto Sans"/>
                      <w:bCs/>
                    </w:rPr>
                    <w:fldChar w:fldCharType="end"/>
                  </w:r>
                  <w:r w:rsidR="009005B4" w:rsidRPr="00177073">
                    <w:rPr>
                      <w:rFonts w:ascii="Noto Sans" w:hAnsi="Noto Sans"/>
                    </w:rPr>
                    <w:t xml:space="preserve"> / </w:t>
                  </w:r>
                  <w:r w:rsidR="00394212" w:rsidRPr="00177073">
                    <w:rPr>
                      <w:rFonts w:ascii="Noto Sans" w:hAnsi="Noto Sans"/>
                      <w:bCs/>
                    </w:rPr>
                    <w:fldChar w:fldCharType="begin"/>
                  </w:r>
                  <w:r w:rsidR="009005B4" w:rsidRPr="00177073">
                    <w:rPr>
                      <w:rFonts w:ascii="Noto Sans" w:hAnsi="Noto Sans"/>
                      <w:bCs/>
                    </w:rPr>
                    <w:instrText>NUMPAGES</w:instrText>
                  </w:r>
                  <w:r w:rsidR="00394212" w:rsidRPr="00177073">
                    <w:rPr>
                      <w:rFonts w:ascii="Noto Sans" w:hAnsi="Noto Sans"/>
                      <w:bCs/>
                    </w:rPr>
                    <w:fldChar w:fldCharType="separate"/>
                  </w:r>
                  <w:r w:rsidR="00FB2FBC">
                    <w:rPr>
                      <w:rFonts w:ascii="Noto Sans" w:hAnsi="Noto Sans"/>
                      <w:bCs/>
                      <w:noProof/>
                    </w:rPr>
                    <w:t>4</w:t>
                  </w:r>
                  <w:r w:rsidR="00394212" w:rsidRPr="00177073">
                    <w:rPr>
                      <w:rFonts w:ascii="Noto Sans" w:hAnsi="Noto Sans"/>
                      <w:bCs/>
                    </w:rPr>
                    <w:fldChar w:fldCharType="end"/>
                  </w:r>
                </w:sdtContent>
              </w:sdt>
            </w:p>
          </w:tc>
          <w:tc>
            <w:tcPr>
              <w:tcW w:w="1134" w:type="dxa"/>
              <w:tcMar>
                <w:top w:w="57" w:type="dxa"/>
                <w:left w:w="0" w:type="dxa"/>
                <w:right w:w="0" w:type="dxa"/>
              </w:tcMar>
            </w:tcPr>
            <w:p w14:paraId="32763938" w14:textId="77777777" w:rsidR="009005B4" w:rsidRPr="00177073" w:rsidRDefault="009005B4" w:rsidP="00B82704">
              <w:pPr>
                <w:pStyle w:val="Fuzeile"/>
                <w:jc w:val="center"/>
                <w:rPr>
                  <w:rFonts w:ascii="Noto Sans" w:hAnsi="Noto Sans"/>
                </w:rPr>
              </w:pPr>
              <w:r w:rsidRPr="00177073">
                <w:rPr>
                  <w:rFonts w:ascii="Noto Sans" w:hAnsi="Noto Sans"/>
                </w:rPr>
                <w:t xml:space="preserve">2G </w:t>
              </w:r>
              <w:proofErr w:type="spellStart"/>
              <w:r w:rsidRPr="00177073">
                <w:rPr>
                  <w:rFonts w:ascii="Noto Sans" w:hAnsi="Noto Sans"/>
                </w:rPr>
                <w:t>Energy</w:t>
              </w:r>
              <w:proofErr w:type="spellEnd"/>
              <w:r w:rsidRPr="00177073">
                <w:rPr>
                  <w:rFonts w:ascii="Noto Sans" w:hAnsi="Noto Sans"/>
                </w:rPr>
                <w:t xml:space="preserve"> AG</w:t>
              </w:r>
            </w:p>
          </w:tc>
          <w:tc>
            <w:tcPr>
              <w:tcW w:w="4389" w:type="dxa"/>
              <w:tcMar>
                <w:top w:w="57" w:type="dxa"/>
                <w:left w:w="0" w:type="dxa"/>
                <w:right w:w="0" w:type="dxa"/>
              </w:tcMar>
            </w:tcPr>
            <w:p w14:paraId="7C7DE6AB" w14:textId="77777777" w:rsidR="009005B4" w:rsidRPr="00177073" w:rsidRDefault="000143AC" w:rsidP="001637D7">
              <w:pPr>
                <w:pStyle w:val="Fuzeile"/>
                <w:jc w:val="right"/>
                <w:rPr>
                  <w:rFonts w:ascii="Noto Sans" w:hAnsi="Noto Sans"/>
                </w:rPr>
              </w:pPr>
              <w:r>
                <w:fldChar w:fldCharType="begin"/>
              </w:r>
              <w:r>
                <w:instrText xml:space="preserve"> DOCPROPERTY PRODSTRING5 \* MERGEFORMAT </w:instrText>
              </w:r>
              <w:r>
                <w:fldChar w:fldCharType="separate"/>
              </w:r>
              <w:r w:rsidR="00FB2FBC" w:rsidRPr="00FB2FBC">
                <w:rPr>
                  <w:rFonts w:ascii="Noto Sans" w:hAnsi="Noto Sans"/>
                </w:rPr>
                <w:t>Platzhalter Beschreibung</w:t>
              </w:r>
              <w:r>
                <w:rPr>
                  <w:rFonts w:ascii="Noto Sans" w:hAnsi="Noto Sans"/>
                </w:rPr>
                <w:fldChar w:fldCharType="end"/>
              </w:r>
            </w:p>
          </w:tc>
        </w:tr>
        <w:tr w:rsidR="009005B4" w:rsidRPr="00177073" w14:paraId="1E1B0616" w14:textId="77777777" w:rsidTr="001637D7">
          <w:tc>
            <w:tcPr>
              <w:tcW w:w="4400" w:type="dxa"/>
              <w:tcMar>
                <w:top w:w="0" w:type="dxa"/>
                <w:left w:w="0" w:type="dxa"/>
                <w:right w:w="0" w:type="dxa"/>
              </w:tcMar>
            </w:tcPr>
            <w:p w14:paraId="7C641C1B" w14:textId="77777777" w:rsidR="009005B4" w:rsidRPr="00177073" w:rsidRDefault="009005B4" w:rsidP="002548BE">
              <w:pPr>
                <w:pStyle w:val="Fuzeile"/>
                <w:rPr>
                  <w:rFonts w:ascii="Noto Sans" w:hAnsi="Noto Sans"/>
                </w:rPr>
              </w:pPr>
            </w:p>
          </w:tc>
          <w:tc>
            <w:tcPr>
              <w:tcW w:w="1134" w:type="dxa"/>
              <w:tcMar>
                <w:top w:w="0" w:type="dxa"/>
                <w:left w:w="0" w:type="dxa"/>
                <w:right w:w="0" w:type="dxa"/>
              </w:tcMar>
            </w:tcPr>
            <w:p w14:paraId="27974187" w14:textId="77777777"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14:paraId="70B9AC7C" w14:textId="77777777" w:rsidR="009005B4" w:rsidRPr="00177073" w:rsidRDefault="000143AC" w:rsidP="0096679F">
              <w:pPr>
                <w:pStyle w:val="Fuzeile"/>
                <w:jc w:val="right"/>
                <w:rPr>
                  <w:rFonts w:ascii="Noto Sans" w:hAnsi="Noto Sans"/>
                </w:rPr>
              </w:pPr>
              <w:r>
                <w:fldChar w:fldCharType="begin"/>
              </w:r>
              <w:r>
                <w:instrText xml:space="preserve"> DOCPROPERTY PROANLDAT \* MERGEFORMAT </w:instrText>
              </w:r>
              <w:r>
                <w:fldChar w:fldCharType="separate"/>
              </w:r>
              <w:r w:rsidR="00FB2FBC" w:rsidRPr="00FB2FBC">
                <w:rPr>
                  <w:rFonts w:ascii="Noto Sans" w:hAnsi="Noto Sans"/>
                  <w:lang w:val="en-US"/>
                </w:rPr>
                <w:t>13.10.2014</w:t>
              </w:r>
              <w:r>
                <w:rPr>
                  <w:rFonts w:ascii="Noto Sans" w:hAnsi="Noto Sans"/>
                  <w:lang w:val="en-US"/>
                </w:rPr>
                <w:fldChar w:fldCharType="end"/>
              </w:r>
            </w:p>
          </w:tc>
        </w:tr>
        <w:tr w:rsidR="009005B4" w:rsidRPr="00177073" w14:paraId="0B596A60" w14:textId="77777777" w:rsidTr="001637D7">
          <w:tc>
            <w:tcPr>
              <w:tcW w:w="4400" w:type="dxa"/>
              <w:tcMar>
                <w:top w:w="0" w:type="dxa"/>
                <w:left w:w="0" w:type="dxa"/>
                <w:right w:w="0" w:type="dxa"/>
              </w:tcMar>
            </w:tcPr>
            <w:p w14:paraId="0DC54958" w14:textId="77777777" w:rsidR="009005B4" w:rsidRPr="00177073" w:rsidRDefault="009005B4" w:rsidP="002548BE">
              <w:pPr>
                <w:pStyle w:val="Fuzeile"/>
                <w:rPr>
                  <w:rFonts w:ascii="Noto Sans" w:hAnsi="Noto Sans"/>
                </w:rPr>
              </w:pPr>
            </w:p>
          </w:tc>
          <w:tc>
            <w:tcPr>
              <w:tcW w:w="1134" w:type="dxa"/>
              <w:tcMar>
                <w:top w:w="0" w:type="dxa"/>
                <w:left w:w="0" w:type="dxa"/>
                <w:right w:w="0" w:type="dxa"/>
              </w:tcMar>
            </w:tcPr>
            <w:p w14:paraId="649B7628" w14:textId="77777777"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14:paraId="3B10B76B" w14:textId="77777777" w:rsidR="009005B4" w:rsidRPr="00177073" w:rsidRDefault="009005B4" w:rsidP="001637D7">
              <w:pPr>
                <w:pStyle w:val="Fuzeile"/>
                <w:jc w:val="right"/>
                <w:rPr>
                  <w:rFonts w:ascii="Noto Sans" w:hAnsi="Noto Sans"/>
                </w:rPr>
              </w:pPr>
              <w:r w:rsidRPr="00177073">
                <w:rPr>
                  <w:rFonts w:ascii="Noto Sans" w:hAnsi="Noto Sans"/>
                </w:rPr>
                <w:t xml:space="preserve">Doc.-ID.: </w:t>
              </w:r>
              <w:r w:rsidR="000143AC">
                <w:fldChar w:fldCharType="begin"/>
              </w:r>
              <w:r w:rsidR="000143AC">
                <w:instrText xml:space="preserve"> DOCPROPERTY PRODOKID \* MERGEFORMAT </w:instrText>
              </w:r>
              <w:r w:rsidR="000143AC">
                <w:fldChar w:fldCharType="separate"/>
              </w:r>
              <w:r w:rsidR="00FB2FBC" w:rsidRPr="00FB2FBC">
                <w:rPr>
                  <w:rFonts w:ascii="Noto Sans" w:hAnsi="Noto Sans"/>
                </w:rPr>
                <w:t>245143</w:t>
              </w:r>
              <w:r w:rsidR="000143AC">
                <w:rPr>
                  <w:rFonts w:ascii="Noto Sans" w:hAnsi="Noto Sans"/>
                </w:rPr>
                <w:fldChar w:fldCharType="end"/>
              </w:r>
            </w:p>
          </w:tc>
        </w:tr>
      </w:tbl>
    </w:sdtContent>
  </w:sdt>
  <w:p w14:paraId="0052AAF0" w14:textId="77777777"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3AD1D" w14:textId="77777777" w:rsidR="009A46E0" w:rsidRDefault="009A46E0" w:rsidP="00E945DC">
      <w:pPr>
        <w:spacing w:after="0" w:line="240" w:lineRule="auto"/>
      </w:pPr>
      <w:r>
        <w:separator/>
      </w:r>
    </w:p>
  </w:footnote>
  <w:footnote w:type="continuationSeparator" w:id="0">
    <w:p w14:paraId="7EBEF240" w14:textId="77777777" w:rsidR="009A46E0" w:rsidRDefault="009A46E0"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14:paraId="21642E96" w14:textId="77777777"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14:anchorId="5DDF3884" wp14:editId="5787F9F1">
                                          <wp:simplePos x="0" y="0"/>
                                          <wp:positionH relativeFrom="leftMargin">
                                            <wp:posOffset>648335</wp:posOffset>
                                          </wp:positionH>
                                          <wp:positionV relativeFrom="topMargin">
                                            <wp:posOffset>252095</wp:posOffset>
                                          </wp:positionV>
                                          <wp:extent cx="774000" cy="504000"/>
                                          <wp:effectExtent l="0" t="0" r="7620" b="0"/>
                                          <wp:wrapNone/>
                                          <wp:docPr id="1" name="Grafik 1"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143AC"/>
    <w:rsid w:val="0001459E"/>
    <w:rsid w:val="00021A95"/>
    <w:rsid w:val="000220E4"/>
    <w:rsid w:val="0002475D"/>
    <w:rsid w:val="0002497D"/>
    <w:rsid w:val="000264B2"/>
    <w:rsid w:val="00026AD3"/>
    <w:rsid w:val="00035AB7"/>
    <w:rsid w:val="00063358"/>
    <w:rsid w:val="00074A00"/>
    <w:rsid w:val="000862D2"/>
    <w:rsid w:val="00091FA1"/>
    <w:rsid w:val="000A097A"/>
    <w:rsid w:val="000A3DD9"/>
    <w:rsid w:val="000A7E80"/>
    <w:rsid w:val="000C42A7"/>
    <w:rsid w:val="000C5286"/>
    <w:rsid w:val="000C5E6F"/>
    <w:rsid w:val="000D74C7"/>
    <w:rsid w:val="000F3B01"/>
    <w:rsid w:val="000F4393"/>
    <w:rsid w:val="00104BFF"/>
    <w:rsid w:val="001128BF"/>
    <w:rsid w:val="0011675D"/>
    <w:rsid w:val="00117F70"/>
    <w:rsid w:val="00132F29"/>
    <w:rsid w:val="00133033"/>
    <w:rsid w:val="00135BC2"/>
    <w:rsid w:val="001519F7"/>
    <w:rsid w:val="001530E8"/>
    <w:rsid w:val="00162F8E"/>
    <w:rsid w:val="001637D7"/>
    <w:rsid w:val="001666B5"/>
    <w:rsid w:val="00167368"/>
    <w:rsid w:val="00177073"/>
    <w:rsid w:val="00180795"/>
    <w:rsid w:val="0018406B"/>
    <w:rsid w:val="00185166"/>
    <w:rsid w:val="00192DBE"/>
    <w:rsid w:val="001A282B"/>
    <w:rsid w:val="001B0892"/>
    <w:rsid w:val="001B2BB3"/>
    <w:rsid w:val="001B53C9"/>
    <w:rsid w:val="001C72BC"/>
    <w:rsid w:val="001D0555"/>
    <w:rsid w:val="001E2028"/>
    <w:rsid w:val="001E66A2"/>
    <w:rsid w:val="001F3A69"/>
    <w:rsid w:val="001F6C6B"/>
    <w:rsid w:val="00204882"/>
    <w:rsid w:val="00210178"/>
    <w:rsid w:val="00234B3D"/>
    <w:rsid w:val="00244644"/>
    <w:rsid w:val="00250426"/>
    <w:rsid w:val="002548BE"/>
    <w:rsid w:val="00263578"/>
    <w:rsid w:val="002637DB"/>
    <w:rsid w:val="0028608F"/>
    <w:rsid w:val="00297C7C"/>
    <w:rsid w:val="002A182B"/>
    <w:rsid w:val="002A4CFD"/>
    <w:rsid w:val="002B4447"/>
    <w:rsid w:val="002B5B3C"/>
    <w:rsid w:val="002D7682"/>
    <w:rsid w:val="002E0229"/>
    <w:rsid w:val="002F3E62"/>
    <w:rsid w:val="002F47AD"/>
    <w:rsid w:val="00301BB0"/>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5511"/>
    <w:rsid w:val="00357564"/>
    <w:rsid w:val="003668F2"/>
    <w:rsid w:val="0037188B"/>
    <w:rsid w:val="00372252"/>
    <w:rsid w:val="00372E0D"/>
    <w:rsid w:val="00375E51"/>
    <w:rsid w:val="0038216E"/>
    <w:rsid w:val="00384BE9"/>
    <w:rsid w:val="00394212"/>
    <w:rsid w:val="00394A2D"/>
    <w:rsid w:val="003A1153"/>
    <w:rsid w:val="003A1D1F"/>
    <w:rsid w:val="003A7CAF"/>
    <w:rsid w:val="003A7E63"/>
    <w:rsid w:val="003B5B10"/>
    <w:rsid w:val="003D0AB0"/>
    <w:rsid w:val="003D35D5"/>
    <w:rsid w:val="003D4E8F"/>
    <w:rsid w:val="003D6324"/>
    <w:rsid w:val="003D65E0"/>
    <w:rsid w:val="003E12AA"/>
    <w:rsid w:val="003E3C3E"/>
    <w:rsid w:val="003F1A02"/>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6730A"/>
    <w:rsid w:val="00470215"/>
    <w:rsid w:val="00471155"/>
    <w:rsid w:val="00473C20"/>
    <w:rsid w:val="00477853"/>
    <w:rsid w:val="0048008A"/>
    <w:rsid w:val="0048091D"/>
    <w:rsid w:val="004830D4"/>
    <w:rsid w:val="00496D0B"/>
    <w:rsid w:val="004B7D7F"/>
    <w:rsid w:val="004C1326"/>
    <w:rsid w:val="004C327B"/>
    <w:rsid w:val="004C5B7C"/>
    <w:rsid w:val="004D069A"/>
    <w:rsid w:val="004D37A0"/>
    <w:rsid w:val="004D614C"/>
    <w:rsid w:val="004E4626"/>
    <w:rsid w:val="004E6E45"/>
    <w:rsid w:val="004F38E9"/>
    <w:rsid w:val="004F5475"/>
    <w:rsid w:val="004F709A"/>
    <w:rsid w:val="00500C01"/>
    <w:rsid w:val="00501C0C"/>
    <w:rsid w:val="0050759E"/>
    <w:rsid w:val="0052128B"/>
    <w:rsid w:val="00523F66"/>
    <w:rsid w:val="00530015"/>
    <w:rsid w:val="0054035A"/>
    <w:rsid w:val="00550D87"/>
    <w:rsid w:val="00556FE5"/>
    <w:rsid w:val="00563471"/>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6DDE"/>
    <w:rsid w:val="005D73AB"/>
    <w:rsid w:val="005D79FA"/>
    <w:rsid w:val="005E027E"/>
    <w:rsid w:val="005E2228"/>
    <w:rsid w:val="005E3024"/>
    <w:rsid w:val="005E608D"/>
    <w:rsid w:val="005F6ED7"/>
    <w:rsid w:val="006060BE"/>
    <w:rsid w:val="006075BF"/>
    <w:rsid w:val="00617346"/>
    <w:rsid w:val="0061765D"/>
    <w:rsid w:val="00633257"/>
    <w:rsid w:val="00636D2E"/>
    <w:rsid w:val="00637200"/>
    <w:rsid w:val="00653FBB"/>
    <w:rsid w:val="00654EDC"/>
    <w:rsid w:val="00676439"/>
    <w:rsid w:val="00684D22"/>
    <w:rsid w:val="00685574"/>
    <w:rsid w:val="00686C40"/>
    <w:rsid w:val="00690C6B"/>
    <w:rsid w:val="00691538"/>
    <w:rsid w:val="00697716"/>
    <w:rsid w:val="006A7BF0"/>
    <w:rsid w:val="006B29A6"/>
    <w:rsid w:val="006B4C18"/>
    <w:rsid w:val="006B5E06"/>
    <w:rsid w:val="006C63F3"/>
    <w:rsid w:val="006E7766"/>
    <w:rsid w:val="0070179E"/>
    <w:rsid w:val="007035B6"/>
    <w:rsid w:val="0070512D"/>
    <w:rsid w:val="00705EB4"/>
    <w:rsid w:val="00710794"/>
    <w:rsid w:val="00720DE0"/>
    <w:rsid w:val="00734ABF"/>
    <w:rsid w:val="007513B1"/>
    <w:rsid w:val="00754041"/>
    <w:rsid w:val="00762710"/>
    <w:rsid w:val="00763561"/>
    <w:rsid w:val="007671C1"/>
    <w:rsid w:val="00772652"/>
    <w:rsid w:val="0078056A"/>
    <w:rsid w:val="007807B0"/>
    <w:rsid w:val="0078103E"/>
    <w:rsid w:val="0078239B"/>
    <w:rsid w:val="007832DA"/>
    <w:rsid w:val="007A0990"/>
    <w:rsid w:val="007A72CC"/>
    <w:rsid w:val="007B00E3"/>
    <w:rsid w:val="007B03C5"/>
    <w:rsid w:val="007C4630"/>
    <w:rsid w:val="007C6554"/>
    <w:rsid w:val="007C6754"/>
    <w:rsid w:val="007E248A"/>
    <w:rsid w:val="007F3AC2"/>
    <w:rsid w:val="0080150C"/>
    <w:rsid w:val="008035E9"/>
    <w:rsid w:val="0080431D"/>
    <w:rsid w:val="0082086D"/>
    <w:rsid w:val="00842C79"/>
    <w:rsid w:val="00845B8E"/>
    <w:rsid w:val="008472A2"/>
    <w:rsid w:val="008501D8"/>
    <w:rsid w:val="0085038E"/>
    <w:rsid w:val="00851BF5"/>
    <w:rsid w:val="00856D45"/>
    <w:rsid w:val="00862EBA"/>
    <w:rsid w:val="0086634A"/>
    <w:rsid w:val="0086674E"/>
    <w:rsid w:val="00871867"/>
    <w:rsid w:val="00880660"/>
    <w:rsid w:val="00883CFD"/>
    <w:rsid w:val="00897B0C"/>
    <w:rsid w:val="008A13D6"/>
    <w:rsid w:val="008B10E0"/>
    <w:rsid w:val="008B131F"/>
    <w:rsid w:val="008B2CAC"/>
    <w:rsid w:val="008B2EB4"/>
    <w:rsid w:val="008B4609"/>
    <w:rsid w:val="008C3E2B"/>
    <w:rsid w:val="008D2640"/>
    <w:rsid w:val="008D3669"/>
    <w:rsid w:val="008D5845"/>
    <w:rsid w:val="008D62CF"/>
    <w:rsid w:val="008E2B19"/>
    <w:rsid w:val="008E4C7E"/>
    <w:rsid w:val="008F0E7F"/>
    <w:rsid w:val="008F0F29"/>
    <w:rsid w:val="008F5702"/>
    <w:rsid w:val="009005B4"/>
    <w:rsid w:val="0090504D"/>
    <w:rsid w:val="009073C3"/>
    <w:rsid w:val="00921A4C"/>
    <w:rsid w:val="00927D85"/>
    <w:rsid w:val="00930DCB"/>
    <w:rsid w:val="00935E55"/>
    <w:rsid w:val="00936781"/>
    <w:rsid w:val="0093760B"/>
    <w:rsid w:val="009377F2"/>
    <w:rsid w:val="00940123"/>
    <w:rsid w:val="009438D1"/>
    <w:rsid w:val="00954D8B"/>
    <w:rsid w:val="009654C0"/>
    <w:rsid w:val="0096679F"/>
    <w:rsid w:val="00971658"/>
    <w:rsid w:val="009718FA"/>
    <w:rsid w:val="009731C1"/>
    <w:rsid w:val="00973E37"/>
    <w:rsid w:val="00975B34"/>
    <w:rsid w:val="0098092D"/>
    <w:rsid w:val="009810D4"/>
    <w:rsid w:val="0099089F"/>
    <w:rsid w:val="00990C40"/>
    <w:rsid w:val="009A13DA"/>
    <w:rsid w:val="009A46E0"/>
    <w:rsid w:val="009A51E2"/>
    <w:rsid w:val="009B598A"/>
    <w:rsid w:val="009C4AEE"/>
    <w:rsid w:val="009D1BC8"/>
    <w:rsid w:val="009D5FAB"/>
    <w:rsid w:val="009D671A"/>
    <w:rsid w:val="009E0CE7"/>
    <w:rsid w:val="009E35B6"/>
    <w:rsid w:val="009E38CA"/>
    <w:rsid w:val="009F46A1"/>
    <w:rsid w:val="009F49B0"/>
    <w:rsid w:val="009F4CAD"/>
    <w:rsid w:val="00A037C4"/>
    <w:rsid w:val="00A05EE5"/>
    <w:rsid w:val="00A066F1"/>
    <w:rsid w:val="00A14387"/>
    <w:rsid w:val="00A237A0"/>
    <w:rsid w:val="00A2719C"/>
    <w:rsid w:val="00A34E96"/>
    <w:rsid w:val="00A35149"/>
    <w:rsid w:val="00A35942"/>
    <w:rsid w:val="00A41070"/>
    <w:rsid w:val="00A431F2"/>
    <w:rsid w:val="00A43493"/>
    <w:rsid w:val="00A44F57"/>
    <w:rsid w:val="00A4647C"/>
    <w:rsid w:val="00A478D4"/>
    <w:rsid w:val="00A47A13"/>
    <w:rsid w:val="00A52189"/>
    <w:rsid w:val="00A641F1"/>
    <w:rsid w:val="00A64699"/>
    <w:rsid w:val="00A82C1D"/>
    <w:rsid w:val="00A93942"/>
    <w:rsid w:val="00AA0082"/>
    <w:rsid w:val="00AA14C3"/>
    <w:rsid w:val="00AA3745"/>
    <w:rsid w:val="00AA5A35"/>
    <w:rsid w:val="00AA773E"/>
    <w:rsid w:val="00AB1E8D"/>
    <w:rsid w:val="00AB59A0"/>
    <w:rsid w:val="00AC3929"/>
    <w:rsid w:val="00AC61DA"/>
    <w:rsid w:val="00AC6C10"/>
    <w:rsid w:val="00AC7495"/>
    <w:rsid w:val="00AD32D2"/>
    <w:rsid w:val="00AD362E"/>
    <w:rsid w:val="00AD78B5"/>
    <w:rsid w:val="00AE6FB7"/>
    <w:rsid w:val="00AF044E"/>
    <w:rsid w:val="00AF3291"/>
    <w:rsid w:val="00B012D4"/>
    <w:rsid w:val="00B02719"/>
    <w:rsid w:val="00B06164"/>
    <w:rsid w:val="00B17FB8"/>
    <w:rsid w:val="00B20AF2"/>
    <w:rsid w:val="00B22C4D"/>
    <w:rsid w:val="00B317EC"/>
    <w:rsid w:val="00B32829"/>
    <w:rsid w:val="00B37975"/>
    <w:rsid w:val="00B41ADE"/>
    <w:rsid w:val="00B42D60"/>
    <w:rsid w:val="00B454AB"/>
    <w:rsid w:val="00B537BE"/>
    <w:rsid w:val="00B53910"/>
    <w:rsid w:val="00B6046F"/>
    <w:rsid w:val="00B70D2F"/>
    <w:rsid w:val="00B82704"/>
    <w:rsid w:val="00B832A0"/>
    <w:rsid w:val="00B9325C"/>
    <w:rsid w:val="00B973CA"/>
    <w:rsid w:val="00BB0CF0"/>
    <w:rsid w:val="00BB0CFD"/>
    <w:rsid w:val="00BB5BEC"/>
    <w:rsid w:val="00BC689C"/>
    <w:rsid w:val="00BE559A"/>
    <w:rsid w:val="00BF2284"/>
    <w:rsid w:val="00BF3259"/>
    <w:rsid w:val="00BF6833"/>
    <w:rsid w:val="00C0556C"/>
    <w:rsid w:val="00C05E35"/>
    <w:rsid w:val="00C06FA8"/>
    <w:rsid w:val="00C0776E"/>
    <w:rsid w:val="00C0783B"/>
    <w:rsid w:val="00C1240F"/>
    <w:rsid w:val="00C208A5"/>
    <w:rsid w:val="00C22068"/>
    <w:rsid w:val="00C247E8"/>
    <w:rsid w:val="00C26BE9"/>
    <w:rsid w:val="00C31AB4"/>
    <w:rsid w:val="00C4595C"/>
    <w:rsid w:val="00C538C9"/>
    <w:rsid w:val="00C60425"/>
    <w:rsid w:val="00C6798E"/>
    <w:rsid w:val="00C76706"/>
    <w:rsid w:val="00C861F9"/>
    <w:rsid w:val="00C87B84"/>
    <w:rsid w:val="00C93A54"/>
    <w:rsid w:val="00CA632B"/>
    <w:rsid w:val="00CB4BF8"/>
    <w:rsid w:val="00CB673E"/>
    <w:rsid w:val="00CD2F46"/>
    <w:rsid w:val="00CD7E74"/>
    <w:rsid w:val="00CE18B5"/>
    <w:rsid w:val="00CE784B"/>
    <w:rsid w:val="00CF0126"/>
    <w:rsid w:val="00CF0E90"/>
    <w:rsid w:val="00CF539B"/>
    <w:rsid w:val="00CF7644"/>
    <w:rsid w:val="00D012C2"/>
    <w:rsid w:val="00D06B03"/>
    <w:rsid w:val="00D1098A"/>
    <w:rsid w:val="00D17BBF"/>
    <w:rsid w:val="00D2097B"/>
    <w:rsid w:val="00D252BC"/>
    <w:rsid w:val="00D25902"/>
    <w:rsid w:val="00D30396"/>
    <w:rsid w:val="00D30480"/>
    <w:rsid w:val="00D320D2"/>
    <w:rsid w:val="00D328EC"/>
    <w:rsid w:val="00D366D3"/>
    <w:rsid w:val="00D36976"/>
    <w:rsid w:val="00D37EDE"/>
    <w:rsid w:val="00D414E9"/>
    <w:rsid w:val="00D41B20"/>
    <w:rsid w:val="00D41DBB"/>
    <w:rsid w:val="00D4610A"/>
    <w:rsid w:val="00D57E7D"/>
    <w:rsid w:val="00D61E67"/>
    <w:rsid w:val="00D62768"/>
    <w:rsid w:val="00D62DAF"/>
    <w:rsid w:val="00D634CC"/>
    <w:rsid w:val="00D66618"/>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675"/>
    <w:rsid w:val="00DD0C60"/>
    <w:rsid w:val="00DD19CB"/>
    <w:rsid w:val="00DD4336"/>
    <w:rsid w:val="00DE06A8"/>
    <w:rsid w:val="00DE69F0"/>
    <w:rsid w:val="00DF41CE"/>
    <w:rsid w:val="00E00222"/>
    <w:rsid w:val="00E012ED"/>
    <w:rsid w:val="00E04B95"/>
    <w:rsid w:val="00E079D2"/>
    <w:rsid w:val="00E10F7B"/>
    <w:rsid w:val="00E12C52"/>
    <w:rsid w:val="00E1344E"/>
    <w:rsid w:val="00E13949"/>
    <w:rsid w:val="00E20EB1"/>
    <w:rsid w:val="00E238F2"/>
    <w:rsid w:val="00E32749"/>
    <w:rsid w:val="00E425DF"/>
    <w:rsid w:val="00E471C7"/>
    <w:rsid w:val="00E501EC"/>
    <w:rsid w:val="00E54404"/>
    <w:rsid w:val="00E64D8F"/>
    <w:rsid w:val="00E662E3"/>
    <w:rsid w:val="00E776A5"/>
    <w:rsid w:val="00E82AD3"/>
    <w:rsid w:val="00E837EA"/>
    <w:rsid w:val="00E853A3"/>
    <w:rsid w:val="00E86071"/>
    <w:rsid w:val="00E90AA4"/>
    <w:rsid w:val="00E90BFE"/>
    <w:rsid w:val="00E92C2F"/>
    <w:rsid w:val="00E945DC"/>
    <w:rsid w:val="00E94B4A"/>
    <w:rsid w:val="00EA3ED5"/>
    <w:rsid w:val="00EA44B2"/>
    <w:rsid w:val="00EA6E2E"/>
    <w:rsid w:val="00EB1E1F"/>
    <w:rsid w:val="00EB7701"/>
    <w:rsid w:val="00ED1B2D"/>
    <w:rsid w:val="00ED69EB"/>
    <w:rsid w:val="00EE375D"/>
    <w:rsid w:val="00EF1F5E"/>
    <w:rsid w:val="00EF39B2"/>
    <w:rsid w:val="00EF4386"/>
    <w:rsid w:val="00EF66FF"/>
    <w:rsid w:val="00EF7CCC"/>
    <w:rsid w:val="00F163E8"/>
    <w:rsid w:val="00F403D5"/>
    <w:rsid w:val="00F47293"/>
    <w:rsid w:val="00F51D30"/>
    <w:rsid w:val="00F522E6"/>
    <w:rsid w:val="00F54DC0"/>
    <w:rsid w:val="00F65299"/>
    <w:rsid w:val="00F655B6"/>
    <w:rsid w:val="00F74503"/>
    <w:rsid w:val="00F74EEF"/>
    <w:rsid w:val="00F75DF1"/>
    <w:rsid w:val="00F9368E"/>
    <w:rsid w:val="00FB2E45"/>
    <w:rsid w:val="00FB2FBC"/>
    <w:rsid w:val="00FB38B6"/>
    <w:rsid w:val="00FB4BBD"/>
    <w:rsid w:val="00FB5BC0"/>
    <w:rsid w:val="00FB7509"/>
    <w:rsid w:val="00FC17AE"/>
    <w:rsid w:val="00FD0F77"/>
    <w:rsid w:val="00FE0857"/>
    <w:rsid w:val="00FE41B4"/>
    <w:rsid w:val="00FE715F"/>
    <w:rsid w:val="00FF1B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F9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qFormat/>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 w:type="paragraph" w:customStyle="1" w:styleId="Default">
    <w:name w:val="Default"/>
    <w:rsid w:val="00301BB0"/>
    <w:pPr>
      <w:autoSpaceDE w:val="0"/>
      <w:autoSpaceDN w:val="0"/>
      <w:adjustRightInd w:val="0"/>
      <w:spacing w:after="0" w:line="240" w:lineRule="auto"/>
    </w:pPr>
    <w:rPr>
      <w:rFonts w:ascii="Noto Sans" w:hAnsi="Noto Sans" w:cs="Noto San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qFormat/>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 w:type="paragraph" w:customStyle="1" w:styleId="Default">
    <w:name w:val="Default"/>
    <w:rsid w:val="00301BB0"/>
    <w:pPr>
      <w:autoSpaceDE w:val="0"/>
      <w:autoSpaceDN w:val="0"/>
      <w:adjustRightInd w:val="0"/>
      <w:spacing w:after="0" w:line="240" w:lineRule="auto"/>
    </w:pPr>
    <w:rPr>
      <w:rFonts w:ascii="Noto Sans" w:hAnsi="Noto Sans" w:cs="Noto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Arial"/>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85074D"/>
    <w:rsid w:val="0004189D"/>
    <w:rsid w:val="00043388"/>
    <w:rsid w:val="000C50B8"/>
    <w:rsid w:val="00125A4C"/>
    <w:rsid w:val="001E08A8"/>
    <w:rsid w:val="00202E58"/>
    <w:rsid w:val="0021775A"/>
    <w:rsid w:val="0025156B"/>
    <w:rsid w:val="00332B60"/>
    <w:rsid w:val="00347C0E"/>
    <w:rsid w:val="003A5D2A"/>
    <w:rsid w:val="003E4062"/>
    <w:rsid w:val="00400F42"/>
    <w:rsid w:val="004B6C1C"/>
    <w:rsid w:val="00633256"/>
    <w:rsid w:val="00654E28"/>
    <w:rsid w:val="00680733"/>
    <w:rsid w:val="006E477E"/>
    <w:rsid w:val="007141DB"/>
    <w:rsid w:val="00733DF6"/>
    <w:rsid w:val="00742BBA"/>
    <w:rsid w:val="007953F2"/>
    <w:rsid w:val="0080340E"/>
    <w:rsid w:val="008407EF"/>
    <w:rsid w:val="00845C51"/>
    <w:rsid w:val="0085074D"/>
    <w:rsid w:val="009718BC"/>
    <w:rsid w:val="009C472F"/>
    <w:rsid w:val="009F67FC"/>
    <w:rsid w:val="00A044F6"/>
    <w:rsid w:val="00A97855"/>
    <w:rsid w:val="00AC45A1"/>
    <w:rsid w:val="00AD12C5"/>
    <w:rsid w:val="00B2798B"/>
    <w:rsid w:val="00B43AB6"/>
    <w:rsid w:val="00B4500F"/>
    <w:rsid w:val="00B65EDE"/>
    <w:rsid w:val="00BB1FB8"/>
    <w:rsid w:val="00C504A2"/>
    <w:rsid w:val="00CB3EBE"/>
    <w:rsid w:val="00E25150"/>
    <w:rsid w:val="00E668E8"/>
    <w:rsid w:val="00F04784"/>
    <w:rsid w:val="00F3279C"/>
    <w:rsid w:val="00FB0855"/>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C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66970-1CAE-4FB6-97DA-A1B3EC66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5806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2</cp:revision>
  <cp:lastPrinted>2017-06-19T12:31:00Z</cp:lastPrinted>
  <dcterms:created xsi:type="dcterms:W3CDTF">2017-06-19T21:15:00Z</dcterms:created>
  <dcterms:modified xsi:type="dcterms:W3CDTF">2017-06-19T21:15:00Z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