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D07CCB" w14:textId="31736135" w:rsidR="0026712F" w:rsidRDefault="00D22D49">
      <w:pPr>
        <w:widowControl w:val="0"/>
        <w:spacing w:line="312" w:lineRule="auto"/>
        <w:rPr>
          <w:sz w:val="22"/>
          <w:lang w:val="de-DE"/>
        </w:rPr>
      </w:pPr>
      <w:r>
        <w:rPr>
          <w:sz w:val="22"/>
          <w:lang w:val="de-DE"/>
        </w:rPr>
        <w:t>München</w:t>
      </w:r>
      <w:r w:rsidR="0026712F">
        <w:rPr>
          <w:sz w:val="22"/>
          <w:lang w:val="de-DE"/>
        </w:rPr>
        <w:t xml:space="preserve">, </w:t>
      </w:r>
      <w:r w:rsidR="009E730B">
        <w:rPr>
          <w:sz w:val="22"/>
          <w:lang w:val="de-DE"/>
        </w:rPr>
        <w:t>29</w:t>
      </w:r>
      <w:r w:rsidR="0026712F">
        <w:rPr>
          <w:sz w:val="22"/>
          <w:lang w:val="de-DE"/>
        </w:rPr>
        <w:t xml:space="preserve">. </w:t>
      </w:r>
      <w:r>
        <w:rPr>
          <w:sz w:val="22"/>
          <w:lang w:val="de-DE"/>
        </w:rPr>
        <w:t>April</w:t>
      </w:r>
      <w:r w:rsidR="005B1B41">
        <w:rPr>
          <w:sz w:val="22"/>
          <w:lang w:val="de-DE"/>
        </w:rPr>
        <w:t xml:space="preserve"> 2014</w:t>
      </w:r>
      <w:r w:rsidR="0026712F">
        <w:rPr>
          <w:sz w:val="22"/>
          <w:lang w:val="de-DE"/>
        </w:rPr>
        <w:t xml:space="preserve"> </w:t>
      </w:r>
    </w:p>
    <w:p w14:paraId="465062E5" w14:textId="77777777" w:rsidR="0026712F" w:rsidRDefault="0026712F">
      <w:pPr>
        <w:widowControl w:val="0"/>
        <w:spacing w:line="312" w:lineRule="auto"/>
        <w:rPr>
          <w:sz w:val="16"/>
          <w:lang w:val="de-DE"/>
        </w:rPr>
      </w:pPr>
    </w:p>
    <w:p w14:paraId="7E9DDA2A" w14:textId="77777777" w:rsidR="00BB299F" w:rsidRDefault="00EB2CD7">
      <w:pPr>
        <w:widowControl w:val="0"/>
        <w:spacing w:line="312" w:lineRule="auto"/>
        <w:ind w:right="425"/>
        <w:rPr>
          <w:b/>
          <w:bCs/>
          <w:w w:val="99"/>
          <w:sz w:val="28"/>
          <w:szCs w:val="28"/>
          <w:lang w:val="de-DE"/>
        </w:rPr>
      </w:pPr>
      <w:r>
        <w:rPr>
          <w:b/>
          <w:bCs/>
          <w:w w:val="99"/>
          <w:sz w:val="28"/>
          <w:szCs w:val="28"/>
          <w:lang w:val="de-DE"/>
        </w:rPr>
        <w:t>Aon Hewitt fordert n</w:t>
      </w:r>
      <w:r w:rsidR="00D22D49">
        <w:rPr>
          <w:b/>
          <w:bCs/>
          <w:w w:val="99"/>
          <w:sz w:val="28"/>
          <w:szCs w:val="28"/>
          <w:lang w:val="de-DE"/>
        </w:rPr>
        <w:t xml:space="preserve">eue Garantiedimensionen für die </w:t>
      </w:r>
    </w:p>
    <w:p w14:paraId="2593E664" w14:textId="69EB152E" w:rsidR="006B6C4D" w:rsidRPr="00BE1FF4" w:rsidRDefault="00D22D49">
      <w:pPr>
        <w:widowControl w:val="0"/>
        <w:spacing w:line="312" w:lineRule="auto"/>
        <w:ind w:right="425"/>
        <w:rPr>
          <w:b/>
          <w:bCs/>
          <w:w w:val="99"/>
          <w:sz w:val="28"/>
          <w:szCs w:val="28"/>
          <w:lang w:val="de-DE"/>
        </w:rPr>
      </w:pPr>
      <w:r>
        <w:rPr>
          <w:b/>
          <w:bCs/>
          <w:w w:val="99"/>
          <w:sz w:val="28"/>
          <w:szCs w:val="28"/>
          <w:lang w:val="de-DE"/>
        </w:rPr>
        <w:t>betriebliche Altersverso</w:t>
      </w:r>
      <w:r w:rsidR="00BB299F">
        <w:rPr>
          <w:b/>
          <w:bCs/>
          <w:w w:val="99"/>
          <w:sz w:val="28"/>
          <w:szCs w:val="28"/>
          <w:lang w:val="de-DE"/>
        </w:rPr>
        <w:t>r</w:t>
      </w:r>
      <w:r>
        <w:rPr>
          <w:b/>
          <w:bCs/>
          <w:w w:val="99"/>
          <w:sz w:val="28"/>
          <w:szCs w:val="28"/>
          <w:lang w:val="de-DE"/>
        </w:rPr>
        <w:t>gung</w:t>
      </w:r>
      <w:r w:rsidR="0026712F" w:rsidRPr="00BE1FF4">
        <w:rPr>
          <w:b/>
          <w:bCs/>
          <w:w w:val="99"/>
          <w:sz w:val="28"/>
          <w:szCs w:val="28"/>
          <w:lang w:val="de-DE"/>
        </w:rPr>
        <w:t xml:space="preserve"> </w:t>
      </w:r>
    </w:p>
    <w:p w14:paraId="35FA625F" w14:textId="3A36DF7F" w:rsidR="0026712F" w:rsidRPr="008E78E1" w:rsidRDefault="00EB2CD7">
      <w:pPr>
        <w:widowControl w:val="0"/>
        <w:spacing w:line="312" w:lineRule="auto"/>
        <w:ind w:right="425"/>
        <w:rPr>
          <w:sz w:val="24"/>
          <w:szCs w:val="24"/>
          <w:lang w:val="de-DE"/>
        </w:rPr>
      </w:pPr>
      <w:proofErr w:type="spellStart"/>
      <w:r>
        <w:rPr>
          <w:sz w:val="24"/>
          <w:szCs w:val="24"/>
          <w:lang w:val="de-DE"/>
        </w:rPr>
        <w:t>Risk</w:t>
      </w:r>
      <w:proofErr w:type="spellEnd"/>
      <w:r>
        <w:rPr>
          <w:sz w:val="24"/>
          <w:szCs w:val="24"/>
          <w:lang w:val="de-DE"/>
        </w:rPr>
        <w:t xml:space="preserve"> Sharing</w:t>
      </w:r>
      <w:r w:rsidR="00BB299F">
        <w:rPr>
          <w:sz w:val="24"/>
          <w:szCs w:val="24"/>
          <w:lang w:val="de-DE"/>
        </w:rPr>
        <w:t>-Modell</w:t>
      </w:r>
      <w:r>
        <w:rPr>
          <w:sz w:val="24"/>
          <w:szCs w:val="24"/>
          <w:lang w:val="de-DE"/>
        </w:rPr>
        <w:t xml:space="preserve"> </w:t>
      </w:r>
      <w:r w:rsidR="006E1C5E">
        <w:rPr>
          <w:sz w:val="24"/>
          <w:szCs w:val="24"/>
          <w:lang w:val="de-DE"/>
        </w:rPr>
        <w:t>als</w:t>
      </w:r>
      <w:r>
        <w:rPr>
          <w:sz w:val="24"/>
          <w:szCs w:val="24"/>
          <w:lang w:val="de-DE"/>
        </w:rPr>
        <w:t xml:space="preserve"> sinnvolle Lösung im Niedrigzinsumfeld</w:t>
      </w:r>
    </w:p>
    <w:p w14:paraId="619C9A65" w14:textId="77777777" w:rsidR="0026712F" w:rsidRDefault="0026712F">
      <w:pPr>
        <w:widowControl w:val="0"/>
        <w:spacing w:line="312" w:lineRule="auto"/>
        <w:ind w:right="992"/>
        <w:rPr>
          <w:b/>
          <w:lang w:val="de-DE"/>
        </w:rPr>
      </w:pPr>
    </w:p>
    <w:p w14:paraId="4FDC0442" w14:textId="067486A2" w:rsidR="00182471" w:rsidRDefault="00684278">
      <w:pPr>
        <w:widowControl w:val="0"/>
        <w:spacing w:line="312" w:lineRule="auto"/>
        <w:ind w:right="992"/>
        <w:rPr>
          <w:b/>
          <w:lang w:val="de-DE"/>
        </w:rPr>
      </w:pPr>
      <w:r>
        <w:rPr>
          <w:b/>
          <w:lang w:val="de-DE"/>
        </w:rPr>
        <w:t>Angesichts des anhaltenden Niedrigzinsumfelds und der steigenden Lebenserwa</w:t>
      </w:r>
      <w:r>
        <w:rPr>
          <w:b/>
          <w:lang w:val="de-DE"/>
        </w:rPr>
        <w:t>r</w:t>
      </w:r>
      <w:r>
        <w:rPr>
          <w:b/>
          <w:lang w:val="de-DE"/>
        </w:rPr>
        <w:t xml:space="preserve">tung </w:t>
      </w:r>
      <w:r w:rsidR="00465728">
        <w:rPr>
          <w:b/>
          <w:lang w:val="de-DE"/>
        </w:rPr>
        <w:t xml:space="preserve">werden die </w:t>
      </w:r>
      <w:r>
        <w:rPr>
          <w:b/>
          <w:lang w:val="de-DE"/>
        </w:rPr>
        <w:t>t</w:t>
      </w:r>
      <w:r w:rsidR="00746378">
        <w:rPr>
          <w:b/>
          <w:lang w:val="de-DE"/>
        </w:rPr>
        <w:t>raditionelle</w:t>
      </w:r>
      <w:r w:rsidR="006E1C5E">
        <w:rPr>
          <w:b/>
          <w:lang w:val="de-DE"/>
        </w:rPr>
        <w:t>n deutschen</w:t>
      </w:r>
      <w:r w:rsidR="00746378">
        <w:rPr>
          <w:b/>
          <w:lang w:val="de-DE"/>
        </w:rPr>
        <w:t xml:space="preserve"> Modelle der betrieblichen Altersverso</w:t>
      </w:r>
      <w:r w:rsidR="00746378">
        <w:rPr>
          <w:b/>
          <w:lang w:val="de-DE"/>
        </w:rPr>
        <w:t>r</w:t>
      </w:r>
      <w:r w:rsidR="00746378">
        <w:rPr>
          <w:b/>
          <w:lang w:val="de-DE"/>
        </w:rPr>
        <w:t xml:space="preserve">gung </w:t>
      </w:r>
      <w:r w:rsidR="00465728">
        <w:rPr>
          <w:b/>
          <w:lang w:val="de-DE"/>
        </w:rPr>
        <w:t>immer häufiger hinterfragt</w:t>
      </w:r>
      <w:r w:rsidR="00EB39DA">
        <w:rPr>
          <w:b/>
          <w:lang w:val="de-DE"/>
        </w:rPr>
        <w:t xml:space="preserve">. </w:t>
      </w:r>
      <w:r w:rsidR="00465728">
        <w:rPr>
          <w:b/>
          <w:lang w:val="de-DE"/>
        </w:rPr>
        <w:t>Lebensv</w:t>
      </w:r>
      <w:r w:rsidR="001947D9">
        <w:rPr>
          <w:b/>
          <w:lang w:val="de-DE"/>
        </w:rPr>
        <w:t xml:space="preserve">ersicherer reagieren </w:t>
      </w:r>
      <w:r>
        <w:rPr>
          <w:b/>
          <w:lang w:val="de-DE"/>
        </w:rPr>
        <w:t>auf die Problematik</w:t>
      </w:r>
      <w:r w:rsidR="001947D9">
        <w:rPr>
          <w:b/>
          <w:lang w:val="de-DE"/>
        </w:rPr>
        <w:t xml:space="preserve"> </w:t>
      </w:r>
      <w:r>
        <w:rPr>
          <w:b/>
          <w:lang w:val="de-DE"/>
        </w:rPr>
        <w:t>meist</w:t>
      </w:r>
      <w:r w:rsidR="001947D9">
        <w:rPr>
          <w:b/>
          <w:lang w:val="de-DE"/>
        </w:rPr>
        <w:t xml:space="preserve"> mit einer V</w:t>
      </w:r>
      <w:r>
        <w:rPr>
          <w:b/>
          <w:lang w:val="de-DE"/>
        </w:rPr>
        <w:t>erringerung der Garantiezusagen</w:t>
      </w:r>
      <w:r w:rsidR="0019362D">
        <w:rPr>
          <w:b/>
          <w:lang w:val="de-DE"/>
        </w:rPr>
        <w:t xml:space="preserve"> oder Befristung der </w:t>
      </w:r>
      <w:r w:rsidR="00465728">
        <w:rPr>
          <w:b/>
          <w:lang w:val="de-DE"/>
        </w:rPr>
        <w:t>Garantien</w:t>
      </w:r>
      <w:r w:rsidR="001947D9">
        <w:rPr>
          <w:b/>
          <w:lang w:val="de-DE"/>
        </w:rPr>
        <w:t xml:space="preserve">. Eine bessere Lösung wäre laut Georg Thurnes, Chefaktuar bei Aon Hewitt, </w:t>
      </w:r>
      <w:r>
        <w:rPr>
          <w:b/>
          <w:lang w:val="de-DE"/>
        </w:rPr>
        <w:t>die Ei</w:t>
      </w:r>
      <w:r>
        <w:rPr>
          <w:b/>
          <w:lang w:val="de-DE"/>
        </w:rPr>
        <w:t>n</w:t>
      </w:r>
      <w:r>
        <w:rPr>
          <w:b/>
          <w:lang w:val="de-DE"/>
        </w:rPr>
        <w:t xml:space="preserve">führung </w:t>
      </w:r>
      <w:r w:rsidR="0019362D">
        <w:rPr>
          <w:b/>
          <w:lang w:val="de-DE"/>
        </w:rPr>
        <w:t>einer</w:t>
      </w:r>
      <w:r>
        <w:rPr>
          <w:b/>
          <w:lang w:val="de-DE"/>
        </w:rPr>
        <w:t xml:space="preserve"> neuen </w:t>
      </w:r>
      <w:r w:rsidR="001947D9">
        <w:rPr>
          <w:b/>
          <w:lang w:val="de-DE"/>
        </w:rPr>
        <w:t>Garantiedimension</w:t>
      </w:r>
      <w:r w:rsidR="0019362D">
        <w:rPr>
          <w:b/>
          <w:lang w:val="de-DE"/>
        </w:rPr>
        <w:t xml:space="preserve">: </w:t>
      </w:r>
      <w:r w:rsidR="006E1C5E">
        <w:rPr>
          <w:b/>
          <w:lang w:val="de-DE"/>
        </w:rPr>
        <w:t>„</w:t>
      </w:r>
      <w:r w:rsidR="001947D9">
        <w:rPr>
          <w:b/>
          <w:lang w:val="de-DE"/>
        </w:rPr>
        <w:t>so gut wie si</w:t>
      </w:r>
      <w:r w:rsidR="0019362D">
        <w:rPr>
          <w:b/>
          <w:lang w:val="de-DE"/>
        </w:rPr>
        <w:t>cher</w:t>
      </w:r>
      <w:r w:rsidR="006E1C5E">
        <w:rPr>
          <w:b/>
          <w:lang w:val="de-DE"/>
        </w:rPr>
        <w:t>“</w:t>
      </w:r>
      <w:r w:rsidR="001947D9">
        <w:rPr>
          <w:b/>
          <w:lang w:val="de-DE"/>
        </w:rPr>
        <w:t xml:space="preserve">. </w:t>
      </w:r>
      <w:r>
        <w:rPr>
          <w:b/>
          <w:lang w:val="de-DE"/>
        </w:rPr>
        <w:t>Statt gekürzter gara</w:t>
      </w:r>
      <w:r>
        <w:rPr>
          <w:b/>
          <w:lang w:val="de-DE"/>
        </w:rPr>
        <w:t>n</w:t>
      </w:r>
      <w:r>
        <w:rPr>
          <w:b/>
          <w:lang w:val="de-DE"/>
        </w:rPr>
        <w:t xml:space="preserve">tierter Leistungen wird dabei eine höhere Auszahlung anvisiert, die allerdings nicht fix zugesagt ist, aber mit sehr hoher Wahrscheinlichkeit </w:t>
      </w:r>
      <w:r w:rsidR="00465728">
        <w:rPr>
          <w:b/>
          <w:lang w:val="de-DE"/>
        </w:rPr>
        <w:t>erbracht werden kann</w:t>
      </w:r>
      <w:r>
        <w:rPr>
          <w:b/>
          <w:lang w:val="de-DE"/>
        </w:rPr>
        <w:t xml:space="preserve">. </w:t>
      </w:r>
      <w:r w:rsidR="00AA0DB9">
        <w:rPr>
          <w:b/>
          <w:lang w:val="de-DE"/>
        </w:rPr>
        <w:t xml:space="preserve">Das während der Anwartschaftsphase angesparte Kapital würde </w:t>
      </w:r>
      <w:r w:rsidR="00273C10">
        <w:rPr>
          <w:b/>
          <w:lang w:val="de-DE"/>
        </w:rPr>
        <w:t xml:space="preserve">quasi </w:t>
      </w:r>
      <w:r w:rsidR="00AA0DB9">
        <w:rPr>
          <w:b/>
          <w:lang w:val="de-DE"/>
        </w:rPr>
        <w:t>in zwei Rente</w:t>
      </w:r>
      <w:r w:rsidR="00AA0DB9">
        <w:rPr>
          <w:b/>
          <w:lang w:val="de-DE"/>
        </w:rPr>
        <w:t>n</w:t>
      </w:r>
      <w:r w:rsidR="00AA0DB9">
        <w:rPr>
          <w:b/>
          <w:lang w:val="de-DE"/>
        </w:rPr>
        <w:t>bestandteile aufgeteilt:</w:t>
      </w:r>
      <w:r w:rsidR="001947D9">
        <w:rPr>
          <w:b/>
          <w:lang w:val="de-DE"/>
        </w:rPr>
        <w:t xml:space="preserve"> </w:t>
      </w:r>
      <w:r w:rsidR="00AA0DB9">
        <w:rPr>
          <w:b/>
          <w:lang w:val="de-DE"/>
        </w:rPr>
        <w:t xml:space="preserve">eine </w:t>
      </w:r>
      <w:r w:rsidR="00273C10">
        <w:rPr>
          <w:b/>
          <w:lang w:val="de-DE"/>
        </w:rPr>
        <w:t xml:space="preserve">unterlegte, </w:t>
      </w:r>
      <w:r w:rsidR="00AA0DB9">
        <w:rPr>
          <w:b/>
          <w:lang w:val="de-DE"/>
        </w:rPr>
        <w:t>niedrig verzinste, festge</w:t>
      </w:r>
      <w:r>
        <w:rPr>
          <w:b/>
          <w:lang w:val="de-DE"/>
        </w:rPr>
        <w:t>legte</w:t>
      </w:r>
      <w:r w:rsidR="00AA0DB9">
        <w:rPr>
          <w:b/>
          <w:lang w:val="de-DE"/>
        </w:rPr>
        <w:t xml:space="preserve"> Garantie</w:t>
      </w:r>
      <w:r w:rsidR="001947D9">
        <w:rPr>
          <w:b/>
          <w:lang w:val="de-DE"/>
        </w:rPr>
        <w:t>rente</w:t>
      </w:r>
      <w:r w:rsidR="00AA0DB9">
        <w:rPr>
          <w:b/>
          <w:lang w:val="de-DE"/>
        </w:rPr>
        <w:t xml:space="preserve"> plus eine Zusatzrente, deren Bezüge sich aus einer risikoreicheren </w:t>
      </w:r>
      <w:r w:rsidR="00CD4FBD">
        <w:rPr>
          <w:b/>
          <w:lang w:val="de-DE"/>
        </w:rPr>
        <w:t>Kapitalanlage</w:t>
      </w:r>
      <w:r w:rsidR="00AA0DB9">
        <w:rPr>
          <w:b/>
          <w:lang w:val="de-DE"/>
        </w:rPr>
        <w:t xml:space="preserve"> speisen</w:t>
      </w:r>
      <w:r w:rsidR="00465728">
        <w:rPr>
          <w:b/>
          <w:lang w:val="de-DE"/>
        </w:rPr>
        <w:t xml:space="preserve"> könnten</w:t>
      </w:r>
      <w:r w:rsidR="00AA0DB9">
        <w:rPr>
          <w:b/>
          <w:lang w:val="de-DE"/>
        </w:rPr>
        <w:t xml:space="preserve"> – mit der Chance auf höhere </w:t>
      </w:r>
      <w:r w:rsidR="00566A71">
        <w:rPr>
          <w:b/>
          <w:lang w:val="de-DE"/>
        </w:rPr>
        <w:t>Erträge</w:t>
      </w:r>
      <w:r>
        <w:rPr>
          <w:b/>
          <w:lang w:val="de-DE"/>
        </w:rPr>
        <w:t xml:space="preserve"> und entsprechen</w:t>
      </w:r>
      <w:r w:rsidR="006E1C5E">
        <w:rPr>
          <w:b/>
          <w:lang w:val="de-DE"/>
        </w:rPr>
        <w:t>d</w:t>
      </w:r>
      <w:r>
        <w:rPr>
          <w:b/>
          <w:lang w:val="de-DE"/>
        </w:rPr>
        <w:t xml:space="preserve"> höheren Auszahlungen</w:t>
      </w:r>
      <w:r w:rsidR="00465728">
        <w:rPr>
          <w:b/>
          <w:lang w:val="de-DE"/>
        </w:rPr>
        <w:t xml:space="preserve"> – und dies von Rentenbeginn an</w:t>
      </w:r>
      <w:r w:rsidR="00AA0DB9">
        <w:rPr>
          <w:b/>
          <w:lang w:val="de-DE"/>
        </w:rPr>
        <w:t>.</w:t>
      </w:r>
      <w:r w:rsidR="001947D9">
        <w:rPr>
          <w:b/>
          <w:lang w:val="de-DE"/>
        </w:rPr>
        <w:t xml:space="preserve"> </w:t>
      </w:r>
      <w:r w:rsidR="00465728">
        <w:rPr>
          <w:b/>
          <w:lang w:val="de-DE"/>
        </w:rPr>
        <w:t xml:space="preserve">Versorgungseinrichtung </w:t>
      </w:r>
      <w:r w:rsidR="001947D9">
        <w:rPr>
          <w:b/>
          <w:lang w:val="de-DE"/>
        </w:rPr>
        <w:t>und Lei</w:t>
      </w:r>
      <w:r w:rsidR="001947D9">
        <w:rPr>
          <w:b/>
          <w:lang w:val="de-DE"/>
        </w:rPr>
        <w:t>s</w:t>
      </w:r>
      <w:r w:rsidR="001947D9">
        <w:rPr>
          <w:b/>
          <w:lang w:val="de-DE"/>
        </w:rPr>
        <w:t>tungsempfänger teilen sich</w:t>
      </w:r>
      <w:r w:rsidR="00CD4FBD">
        <w:rPr>
          <w:b/>
          <w:lang w:val="de-DE"/>
        </w:rPr>
        <w:t xml:space="preserve"> also</w:t>
      </w:r>
      <w:r w:rsidR="001947D9">
        <w:rPr>
          <w:b/>
          <w:lang w:val="de-DE"/>
        </w:rPr>
        <w:t xml:space="preserve"> </w:t>
      </w:r>
      <w:r w:rsidR="00CD4FBD">
        <w:rPr>
          <w:b/>
          <w:lang w:val="de-DE"/>
        </w:rPr>
        <w:t xml:space="preserve">das </w:t>
      </w:r>
      <w:r w:rsidR="001947D9">
        <w:rPr>
          <w:b/>
          <w:lang w:val="de-DE"/>
        </w:rPr>
        <w:t>Risiko</w:t>
      </w:r>
      <w:r w:rsidR="0045156A">
        <w:rPr>
          <w:b/>
          <w:lang w:val="de-DE"/>
        </w:rPr>
        <w:t>.</w:t>
      </w:r>
      <w:r w:rsidR="0019362D">
        <w:rPr>
          <w:b/>
          <w:lang w:val="de-DE"/>
        </w:rPr>
        <w:t xml:space="preserve"> „Das </w:t>
      </w:r>
      <w:r w:rsidR="00465728">
        <w:rPr>
          <w:b/>
          <w:lang w:val="de-DE"/>
        </w:rPr>
        <w:t xml:space="preserve">geht in die Richtung der </w:t>
      </w:r>
      <w:r w:rsidR="0019362D">
        <w:rPr>
          <w:b/>
          <w:lang w:val="de-DE"/>
        </w:rPr>
        <w:t xml:space="preserve">Modelle </w:t>
      </w:r>
      <w:proofErr w:type="spellStart"/>
      <w:r w:rsidR="0019362D">
        <w:rPr>
          <w:b/>
          <w:lang w:val="de-DE"/>
        </w:rPr>
        <w:t>Defined</w:t>
      </w:r>
      <w:proofErr w:type="spellEnd"/>
      <w:r w:rsidR="0019362D">
        <w:rPr>
          <w:b/>
          <w:lang w:val="de-DE"/>
        </w:rPr>
        <w:t xml:space="preserve"> Ambition beziehungsweise Collective DC, die in den Niederlanden und Großbritannien bereits angelaufen sind“, erläutert Thurnes.</w:t>
      </w:r>
      <w:r w:rsidR="002A3585">
        <w:rPr>
          <w:b/>
          <w:lang w:val="de-DE"/>
        </w:rPr>
        <w:t xml:space="preserve"> In Deutschland ist die Gesetzeslage bezüglich der Umsetzbarkeit allerdings nicht eindeutig.</w:t>
      </w:r>
    </w:p>
    <w:p w14:paraId="469C4393" w14:textId="77777777" w:rsidR="0026712F" w:rsidRDefault="0026712F">
      <w:pPr>
        <w:widowControl w:val="0"/>
        <w:spacing w:line="312" w:lineRule="auto"/>
        <w:ind w:right="992"/>
        <w:rPr>
          <w:b/>
          <w:lang w:val="de-DE"/>
        </w:rPr>
      </w:pPr>
    </w:p>
    <w:p w14:paraId="4C47FC5B" w14:textId="4FE0D29F" w:rsidR="005E1A8D" w:rsidRDefault="003113C2">
      <w:pPr>
        <w:widowControl w:val="0"/>
        <w:spacing w:line="312" w:lineRule="auto"/>
        <w:ind w:right="992"/>
        <w:rPr>
          <w:lang w:val="de-DE"/>
        </w:rPr>
      </w:pPr>
      <w:r>
        <w:rPr>
          <w:lang w:val="de-DE"/>
        </w:rPr>
        <w:t>Der große Vorteil eines solchen Modells liegt in der höheren Startrente für den Lei</w:t>
      </w:r>
      <w:r>
        <w:rPr>
          <w:lang w:val="de-DE"/>
        </w:rPr>
        <w:t>s</w:t>
      </w:r>
      <w:r>
        <w:rPr>
          <w:lang w:val="de-DE"/>
        </w:rPr>
        <w:t xml:space="preserve">tungsempfänger. </w:t>
      </w:r>
      <w:r w:rsidR="001E50DB">
        <w:rPr>
          <w:lang w:val="de-DE"/>
        </w:rPr>
        <w:t xml:space="preserve">„Die Kürzungen </w:t>
      </w:r>
      <w:r w:rsidR="00465728">
        <w:rPr>
          <w:lang w:val="de-DE"/>
        </w:rPr>
        <w:t xml:space="preserve">der traditionellen Garantien </w:t>
      </w:r>
      <w:r w:rsidR="001E50DB">
        <w:rPr>
          <w:lang w:val="de-DE"/>
        </w:rPr>
        <w:t>führen dazu, dass Pensi</w:t>
      </w:r>
      <w:r w:rsidR="001E50DB">
        <w:rPr>
          <w:lang w:val="de-DE"/>
        </w:rPr>
        <w:t>o</w:t>
      </w:r>
      <w:r w:rsidR="001E50DB">
        <w:rPr>
          <w:lang w:val="de-DE"/>
        </w:rPr>
        <w:t xml:space="preserve">näre </w:t>
      </w:r>
      <w:r w:rsidR="00D80C20">
        <w:rPr>
          <w:lang w:val="de-DE"/>
        </w:rPr>
        <w:t>den</w:t>
      </w:r>
      <w:r w:rsidR="001E50DB">
        <w:rPr>
          <w:lang w:val="de-DE"/>
        </w:rPr>
        <w:t xml:space="preserve"> Ruhestand</w:t>
      </w:r>
      <w:r w:rsidR="00D80C20">
        <w:rPr>
          <w:lang w:val="de-DE"/>
        </w:rPr>
        <w:t xml:space="preserve"> mit</w:t>
      </w:r>
      <w:r w:rsidR="001E50DB">
        <w:rPr>
          <w:lang w:val="de-DE"/>
        </w:rPr>
        <w:t xml:space="preserve"> </w:t>
      </w:r>
      <w:r w:rsidR="00D80C20">
        <w:rPr>
          <w:lang w:val="de-DE"/>
        </w:rPr>
        <w:t xml:space="preserve">immer geringeren Leistungszahlungen beginnen“, </w:t>
      </w:r>
      <w:r w:rsidR="00442594">
        <w:rPr>
          <w:lang w:val="de-DE"/>
        </w:rPr>
        <w:t>so</w:t>
      </w:r>
      <w:r w:rsidR="00D80C20">
        <w:rPr>
          <w:lang w:val="de-DE"/>
        </w:rPr>
        <w:t xml:space="preserve"> Thurnes. </w:t>
      </w:r>
      <w:r w:rsidR="00E71BAB">
        <w:rPr>
          <w:lang w:val="de-DE"/>
        </w:rPr>
        <w:t xml:space="preserve">„Zwar steigert sich das im Laufe der Zeit dank ausgezahlter Überschüsse, allerdings sind </w:t>
      </w:r>
      <w:r w:rsidR="00273C10">
        <w:rPr>
          <w:lang w:val="de-DE"/>
        </w:rPr>
        <w:t xml:space="preserve">gerade </w:t>
      </w:r>
      <w:r w:rsidR="00E71BAB">
        <w:rPr>
          <w:lang w:val="de-DE"/>
        </w:rPr>
        <w:t>die ersten Rente</w:t>
      </w:r>
      <w:r w:rsidR="00273C10">
        <w:rPr>
          <w:lang w:val="de-DE"/>
        </w:rPr>
        <w:t>njahre</w:t>
      </w:r>
      <w:r w:rsidR="00E71BAB">
        <w:rPr>
          <w:lang w:val="de-DE"/>
        </w:rPr>
        <w:t xml:space="preserve"> in der Regel die wertvollsten</w:t>
      </w:r>
      <w:r w:rsidR="003B7D10">
        <w:rPr>
          <w:lang w:val="de-DE"/>
        </w:rPr>
        <w:t xml:space="preserve"> –</w:t>
      </w:r>
      <w:r w:rsidR="00273C10">
        <w:rPr>
          <w:lang w:val="de-DE"/>
        </w:rPr>
        <w:t xml:space="preserve"> und man muss schon ziemlich alt werden, um durch Überschüsse auf ein Rentenniveau zu kommen, das man </w:t>
      </w:r>
      <w:r w:rsidR="00B728E0">
        <w:rPr>
          <w:lang w:val="de-DE"/>
        </w:rPr>
        <w:t xml:space="preserve">bei </w:t>
      </w:r>
      <w:r w:rsidR="00273C10">
        <w:rPr>
          <w:lang w:val="de-DE"/>
        </w:rPr>
        <w:t>teilweisem Garantieverzicht gleich von Beginn an erhalten könnte</w:t>
      </w:r>
      <w:r w:rsidR="00E71BAB">
        <w:rPr>
          <w:lang w:val="de-DE"/>
        </w:rPr>
        <w:t>.“ Mit einem Modell der neuen Garantiedimension wäre es trotz Niedrigzinsumfeld</w:t>
      </w:r>
      <w:r w:rsidR="006E1C5E">
        <w:rPr>
          <w:lang w:val="de-DE"/>
        </w:rPr>
        <w:t xml:space="preserve"> weiterhin</w:t>
      </w:r>
      <w:r w:rsidR="00E71BAB">
        <w:rPr>
          <w:lang w:val="de-DE"/>
        </w:rPr>
        <w:t xml:space="preserve"> möglich, </w:t>
      </w:r>
      <w:r w:rsidR="006E1C5E">
        <w:rPr>
          <w:lang w:val="de-DE"/>
        </w:rPr>
        <w:t>bereits</w:t>
      </w:r>
      <w:r w:rsidR="00E71BAB">
        <w:rPr>
          <w:lang w:val="de-DE"/>
        </w:rPr>
        <w:t xml:space="preserve"> zu Anfang des Ruhestands </w:t>
      </w:r>
      <w:r w:rsidR="006E1C5E">
        <w:rPr>
          <w:lang w:val="de-DE"/>
        </w:rPr>
        <w:t>h</w:t>
      </w:r>
      <w:r w:rsidR="00465728">
        <w:rPr>
          <w:lang w:val="de-DE"/>
        </w:rPr>
        <w:t>ö</w:t>
      </w:r>
      <w:r w:rsidR="006E1C5E">
        <w:rPr>
          <w:lang w:val="de-DE"/>
        </w:rPr>
        <w:t>he</w:t>
      </w:r>
      <w:r w:rsidR="00465728">
        <w:rPr>
          <w:lang w:val="de-DE"/>
        </w:rPr>
        <w:t>re</w:t>
      </w:r>
      <w:r w:rsidR="00DC3F78">
        <w:rPr>
          <w:lang w:val="de-DE"/>
        </w:rPr>
        <w:t xml:space="preserve"> Leistungen zu beziehen. „Die exakte Höhe ist aber eben nicht garantiert, nur ziemlich sicher“, erklärt Thurnes weiter. „Sie wird zu Rentenb</w:t>
      </w:r>
      <w:r w:rsidR="00DC3F78">
        <w:rPr>
          <w:lang w:val="de-DE"/>
        </w:rPr>
        <w:t>e</w:t>
      </w:r>
      <w:r w:rsidR="00DC3F78">
        <w:rPr>
          <w:lang w:val="de-DE"/>
        </w:rPr>
        <w:t>ginn für ein Jahr festgelegt und dann nach 12 Monaten neu berechnet. Je nachdem, wie sich der Kapitalmarkt entwickelt, bekommt der Leistungsempfänger dann mehr, weniger oder das gleiche.“ Darin liegt laut Thurnes auch d</w:t>
      </w:r>
      <w:r w:rsidR="00273C10">
        <w:rPr>
          <w:lang w:val="de-DE"/>
        </w:rPr>
        <w:t>ie</w:t>
      </w:r>
      <w:r w:rsidR="00DC3F78">
        <w:rPr>
          <w:lang w:val="de-DE"/>
        </w:rPr>
        <w:t xml:space="preserve"> </w:t>
      </w:r>
      <w:r w:rsidR="00273C10">
        <w:rPr>
          <w:lang w:val="de-DE"/>
        </w:rPr>
        <w:t xml:space="preserve">Gewöhnungsbedürftigkeit </w:t>
      </w:r>
      <w:r w:rsidR="00E32C8A">
        <w:rPr>
          <w:lang w:val="de-DE"/>
        </w:rPr>
        <w:t>des M</w:t>
      </w:r>
      <w:r w:rsidR="00E32C8A">
        <w:rPr>
          <w:lang w:val="de-DE"/>
        </w:rPr>
        <w:t>o</w:t>
      </w:r>
      <w:r w:rsidR="00E32C8A">
        <w:rPr>
          <w:lang w:val="de-DE"/>
        </w:rPr>
        <w:t>dells: e</w:t>
      </w:r>
      <w:r w:rsidR="00DC3F78">
        <w:rPr>
          <w:lang w:val="de-DE"/>
        </w:rPr>
        <w:t xml:space="preserve">ine jährlich </w:t>
      </w:r>
      <w:r w:rsidR="00983D3E">
        <w:rPr>
          <w:lang w:val="de-DE"/>
        </w:rPr>
        <w:t>schwankende Rente.</w:t>
      </w:r>
    </w:p>
    <w:p w14:paraId="527D7508" w14:textId="77777777" w:rsidR="00983D3E" w:rsidRDefault="00983D3E">
      <w:pPr>
        <w:widowControl w:val="0"/>
        <w:spacing w:line="312" w:lineRule="auto"/>
        <w:ind w:right="992"/>
        <w:rPr>
          <w:lang w:val="de-DE"/>
        </w:rPr>
      </w:pPr>
    </w:p>
    <w:p w14:paraId="7EFCFAF8" w14:textId="77777777" w:rsidR="003B7D10" w:rsidRDefault="003B7D10">
      <w:pPr>
        <w:widowControl w:val="0"/>
        <w:spacing w:line="312" w:lineRule="auto"/>
        <w:ind w:right="992"/>
        <w:rPr>
          <w:b/>
          <w:lang w:val="de-DE"/>
        </w:rPr>
      </w:pPr>
    </w:p>
    <w:p w14:paraId="347A83B9" w14:textId="21848D4F" w:rsidR="00983D3E" w:rsidRPr="00983D3E" w:rsidRDefault="00983D3E">
      <w:pPr>
        <w:widowControl w:val="0"/>
        <w:spacing w:line="312" w:lineRule="auto"/>
        <w:ind w:right="992"/>
        <w:rPr>
          <w:b/>
          <w:lang w:val="de-DE"/>
        </w:rPr>
      </w:pPr>
      <w:r w:rsidRPr="00983D3E">
        <w:rPr>
          <w:b/>
          <w:lang w:val="de-DE"/>
        </w:rPr>
        <w:lastRenderedPageBreak/>
        <w:t>Klare Kommunikation und</w:t>
      </w:r>
      <w:r w:rsidR="00262524">
        <w:rPr>
          <w:b/>
          <w:lang w:val="de-DE"/>
        </w:rPr>
        <w:t xml:space="preserve"> </w:t>
      </w:r>
      <w:r w:rsidR="00000E3E">
        <w:rPr>
          <w:b/>
          <w:lang w:val="de-DE"/>
        </w:rPr>
        <w:t>gutes</w:t>
      </w:r>
      <w:r w:rsidRPr="00983D3E">
        <w:rPr>
          <w:b/>
          <w:lang w:val="de-DE"/>
        </w:rPr>
        <w:t xml:space="preserve"> </w:t>
      </w:r>
      <w:r w:rsidR="00000E3E">
        <w:rPr>
          <w:b/>
          <w:lang w:val="de-DE"/>
        </w:rPr>
        <w:t>Controlling sind</w:t>
      </w:r>
      <w:r w:rsidRPr="00983D3E">
        <w:rPr>
          <w:b/>
          <w:lang w:val="de-DE"/>
        </w:rPr>
        <w:t xml:space="preserve"> Pflicht</w:t>
      </w:r>
    </w:p>
    <w:p w14:paraId="5B1C1F7B" w14:textId="6D8643F1" w:rsidR="00983D3E" w:rsidRDefault="00262524">
      <w:pPr>
        <w:widowControl w:val="0"/>
        <w:spacing w:line="312" w:lineRule="auto"/>
        <w:ind w:right="992"/>
        <w:rPr>
          <w:lang w:val="de-DE"/>
        </w:rPr>
      </w:pPr>
      <w:r>
        <w:rPr>
          <w:lang w:val="de-DE"/>
        </w:rPr>
        <w:t xml:space="preserve">Wird von Anfang an </w:t>
      </w:r>
      <w:r w:rsidR="00680886">
        <w:rPr>
          <w:lang w:val="de-DE"/>
        </w:rPr>
        <w:t xml:space="preserve">transparent </w:t>
      </w:r>
      <w:r>
        <w:rPr>
          <w:lang w:val="de-DE"/>
        </w:rPr>
        <w:t>und offen kommuniziert,</w:t>
      </w:r>
      <w:r w:rsidR="00E32C8A">
        <w:rPr>
          <w:lang w:val="de-DE"/>
        </w:rPr>
        <w:t xml:space="preserve"> wie das Modell funktioniert,</w:t>
      </w:r>
      <w:r>
        <w:rPr>
          <w:lang w:val="de-DE"/>
        </w:rPr>
        <w:t xml:space="preserve"> weiß der Rentenempfänger, was auf ihn zukommt. Es muss klar</w:t>
      </w:r>
      <w:r w:rsidR="00680886">
        <w:rPr>
          <w:lang w:val="de-DE"/>
        </w:rPr>
        <w:t xml:space="preserve"> sein</w:t>
      </w:r>
      <w:r>
        <w:rPr>
          <w:lang w:val="de-DE"/>
        </w:rPr>
        <w:t>, dass die Ausza</w:t>
      </w:r>
      <w:r>
        <w:rPr>
          <w:lang w:val="de-DE"/>
        </w:rPr>
        <w:t>h</w:t>
      </w:r>
      <w:r>
        <w:rPr>
          <w:lang w:val="de-DE"/>
        </w:rPr>
        <w:t xml:space="preserve">lung bei schlechtem Marktumfeld auch sinken kann und kein Anspruch auf die höhere Leistung des Vorjahrs besteht. </w:t>
      </w:r>
      <w:r w:rsidR="00E32C8A">
        <w:rPr>
          <w:lang w:val="de-DE"/>
        </w:rPr>
        <w:t>Dennoch gilt es,</w:t>
      </w:r>
      <w:r>
        <w:rPr>
          <w:lang w:val="de-DE"/>
        </w:rPr>
        <w:t xml:space="preserve"> das Risiko </w:t>
      </w:r>
      <w:r w:rsidR="00465728">
        <w:rPr>
          <w:lang w:val="de-DE"/>
        </w:rPr>
        <w:t xml:space="preserve">von Kürzungen </w:t>
      </w:r>
      <w:r w:rsidR="00E32C8A">
        <w:rPr>
          <w:lang w:val="de-DE"/>
        </w:rPr>
        <w:t xml:space="preserve">zu minimieren. Der </w:t>
      </w:r>
      <w:r>
        <w:rPr>
          <w:lang w:val="de-DE"/>
        </w:rPr>
        <w:t xml:space="preserve">Leistungsanbieter </w:t>
      </w:r>
      <w:r w:rsidR="00E32C8A">
        <w:rPr>
          <w:lang w:val="de-DE"/>
        </w:rPr>
        <w:t>muss</w:t>
      </w:r>
      <w:r>
        <w:rPr>
          <w:lang w:val="de-DE"/>
        </w:rPr>
        <w:t xml:space="preserve"> die Kapitalanlage</w:t>
      </w:r>
      <w:r w:rsidR="00E32C8A">
        <w:rPr>
          <w:lang w:val="de-DE"/>
        </w:rPr>
        <w:t xml:space="preserve"> daher</w:t>
      </w:r>
      <w:r>
        <w:rPr>
          <w:lang w:val="de-DE"/>
        </w:rPr>
        <w:t xml:space="preserve"> </w:t>
      </w:r>
      <w:r w:rsidR="00E67854">
        <w:rPr>
          <w:lang w:val="de-DE"/>
        </w:rPr>
        <w:t>sorgfältig</w:t>
      </w:r>
      <w:r>
        <w:rPr>
          <w:lang w:val="de-DE"/>
        </w:rPr>
        <w:t xml:space="preserve"> kontrollieren. </w:t>
      </w:r>
      <w:r w:rsidR="00ED7218">
        <w:rPr>
          <w:lang w:val="de-DE"/>
        </w:rPr>
        <w:t xml:space="preserve">„Natürlich sprechen wir hier von einer risikoreicheren Anlageform als </w:t>
      </w:r>
      <w:r w:rsidR="00E32C8A">
        <w:rPr>
          <w:lang w:val="de-DE"/>
        </w:rPr>
        <w:t>beispielsweise</w:t>
      </w:r>
      <w:r w:rsidR="00ED7218">
        <w:rPr>
          <w:lang w:val="de-DE"/>
        </w:rPr>
        <w:t xml:space="preserve"> Staatsanle</w:t>
      </w:r>
      <w:r w:rsidR="00ED7218">
        <w:rPr>
          <w:lang w:val="de-DE"/>
        </w:rPr>
        <w:t>i</w:t>
      </w:r>
      <w:r w:rsidR="00ED7218">
        <w:rPr>
          <w:lang w:val="de-DE"/>
        </w:rPr>
        <w:t>hen“, so Thurnes. „Trotzdem sollte das Risiko gut kalkuliert sein, das Wohl der Lei</w:t>
      </w:r>
      <w:r w:rsidR="00ED7218">
        <w:rPr>
          <w:lang w:val="de-DE"/>
        </w:rPr>
        <w:t>s</w:t>
      </w:r>
      <w:r w:rsidR="00ED7218">
        <w:rPr>
          <w:lang w:val="de-DE"/>
        </w:rPr>
        <w:t xml:space="preserve">tungsberechtigten steht klar im Vordergrund.“ Ein professionelles und optimiertes Asset </w:t>
      </w:r>
      <w:proofErr w:type="spellStart"/>
      <w:r w:rsidR="00ED7218">
        <w:rPr>
          <w:lang w:val="de-DE"/>
        </w:rPr>
        <w:t>Liability</w:t>
      </w:r>
      <w:proofErr w:type="spellEnd"/>
      <w:r w:rsidR="00ED7218">
        <w:rPr>
          <w:lang w:val="de-DE"/>
        </w:rPr>
        <w:t xml:space="preserve"> </w:t>
      </w:r>
      <w:proofErr w:type="spellStart"/>
      <w:r w:rsidR="00ED7218">
        <w:rPr>
          <w:lang w:val="de-DE"/>
        </w:rPr>
        <w:t>Modelling</w:t>
      </w:r>
      <w:proofErr w:type="spellEnd"/>
      <w:r w:rsidR="00ED7218">
        <w:rPr>
          <w:lang w:val="de-DE"/>
        </w:rPr>
        <w:t xml:space="preserve"> ist daher unerlässlich. </w:t>
      </w:r>
    </w:p>
    <w:p w14:paraId="50F14EEF" w14:textId="77777777" w:rsidR="00566A71" w:rsidRDefault="00566A71">
      <w:pPr>
        <w:widowControl w:val="0"/>
        <w:spacing w:line="312" w:lineRule="auto"/>
        <w:ind w:right="992"/>
        <w:rPr>
          <w:lang w:val="de-DE"/>
        </w:rPr>
      </w:pPr>
    </w:p>
    <w:p w14:paraId="546E12B8" w14:textId="77D043FF" w:rsidR="00566A71" w:rsidRPr="00566A71" w:rsidRDefault="00566A71">
      <w:pPr>
        <w:widowControl w:val="0"/>
        <w:spacing w:line="312" w:lineRule="auto"/>
        <w:ind w:right="992"/>
        <w:rPr>
          <w:b/>
          <w:lang w:val="de-DE"/>
        </w:rPr>
      </w:pPr>
      <w:r w:rsidRPr="00566A71">
        <w:rPr>
          <w:b/>
          <w:lang w:val="de-DE"/>
        </w:rPr>
        <w:t>Ein Modell für Deutschland?</w:t>
      </w:r>
    </w:p>
    <w:p w14:paraId="1DD10C44" w14:textId="7A514E60" w:rsidR="00566A71" w:rsidRDefault="0083683B">
      <w:pPr>
        <w:widowControl w:val="0"/>
        <w:spacing w:line="312" w:lineRule="auto"/>
        <w:ind w:right="992"/>
        <w:rPr>
          <w:lang w:val="de-DE"/>
        </w:rPr>
      </w:pPr>
      <w:r>
        <w:rPr>
          <w:lang w:val="de-DE"/>
        </w:rPr>
        <w:t xml:space="preserve">Grundlegend </w:t>
      </w:r>
      <w:r w:rsidR="00E32C8A">
        <w:rPr>
          <w:lang w:val="de-DE"/>
        </w:rPr>
        <w:t xml:space="preserve">für die Umsetzbarkeit eines Modells mit der neuen Garantiedimension „so gut wie sicher“ ist die Zustimmung der </w:t>
      </w:r>
      <w:r>
        <w:rPr>
          <w:lang w:val="de-DE"/>
        </w:rPr>
        <w:t xml:space="preserve">Sozialpartner, </w:t>
      </w:r>
      <w:r w:rsidR="00E32C8A">
        <w:rPr>
          <w:lang w:val="de-DE"/>
        </w:rPr>
        <w:t>sprich</w:t>
      </w:r>
      <w:r>
        <w:rPr>
          <w:lang w:val="de-DE"/>
        </w:rPr>
        <w:t xml:space="preserve"> der Arbeitgeber und </w:t>
      </w:r>
      <w:r w:rsidR="00273C10">
        <w:rPr>
          <w:lang w:val="de-DE"/>
        </w:rPr>
        <w:t>der</w:t>
      </w:r>
      <w:r>
        <w:rPr>
          <w:lang w:val="de-DE"/>
        </w:rPr>
        <w:t xml:space="preserve"> A</w:t>
      </w:r>
      <w:r>
        <w:rPr>
          <w:lang w:val="de-DE"/>
        </w:rPr>
        <w:t>r</w:t>
      </w:r>
      <w:r>
        <w:rPr>
          <w:lang w:val="de-DE"/>
        </w:rPr>
        <w:t>beitnehmer</w:t>
      </w:r>
      <w:r w:rsidR="003B7D10">
        <w:rPr>
          <w:lang w:val="de-DE"/>
        </w:rPr>
        <w:t xml:space="preserve"> beziehungsweise</w:t>
      </w:r>
      <w:r w:rsidR="00273C10">
        <w:rPr>
          <w:lang w:val="de-DE"/>
        </w:rPr>
        <w:t xml:space="preserve"> deren Vertretungen</w:t>
      </w:r>
      <w:r w:rsidR="00E32C8A">
        <w:rPr>
          <w:lang w:val="de-DE"/>
        </w:rPr>
        <w:t>. Sie sollten</w:t>
      </w:r>
      <w:r>
        <w:rPr>
          <w:lang w:val="de-DE"/>
        </w:rPr>
        <w:t xml:space="preserve"> davon überzeugt </w:t>
      </w:r>
      <w:r w:rsidR="00E32C8A">
        <w:rPr>
          <w:lang w:val="de-DE"/>
        </w:rPr>
        <w:t>sein</w:t>
      </w:r>
      <w:r>
        <w:rPr>
          <w:lang w:val="de-DE"/>
        </w:rPr>
        <w:t xml:space="preserve">, dass </w:t>
      </w:r>
      <w:r w:rsidR="003B7D10">
        <w:rPr>
          <w:lang w:val="de-DE"/>
        </w:rPr>
        <w:t>dieses</w:t>
      </w:r>
      <w:r>
        <w:rPr>
          <w:lang w:val="de-DE"/>
        </w:rPr>
        <w:t xml:space="preserve"> Modell Vorteile für beide Seiten ha</w:t>
      </w:r>
      <w:r w:rsidR="006F3DEA">
        <w:rPr>
          <w:lang w:val="de-DE"/>
        </w:rPr>
        <w:t>t.</w:t>
      </w:r>
      <w:r w:rsidR="00E32C8A">
        <w:rPr>
          <w:lang w:val="de-DE"/>
        </w:rPr>
        <w:t xml:space="preserve"> </w:t>
      </w:r>
      <w:r>
        <w:rPr>
          <w:lang w:val="de-DE"/>
        </w:rPr>
        <w:t xml:space="preserve">Bei einer Direktzusage über ein </w:t>
      </w:r>
      <w:proofErr w:type="spellStart"/>
      <w:r>
        <w:rPr>
          <w:lang w:val="de-DE"/>
        </w:rPr>
        <w:t>Contractual</w:t>
      </w:r>
      <w:proofErr w:type="spellEnd"/>
      <w:r>
        <w:rPr>
          <w:lang w:val="de-DE"/>
        </w:rPr>
        <w:t xml:space="preserve"> Trust Arrangement (CTA) </w:t>
      </w:r>
      <w:r w:rsidR="006F3DEA">
        <w:rPr>
          <w:lang w:val="de-DE"/>
        </w:rPr>
        <w:t xml:space="preserve">wäre </w:t>
      </w:r>
      <w:r w:rsidR="00744DB6">
        <w:rPr>
          <w:lang w:val="de-DE"/>
        </w:rPr>
        <w:t>ein solches System</w:t>
      </w:r>
      <w:r w:rsidR="006F3DEA">
        <w:rPr>
          <w:lang w:val="de-DE"/>
        </w:rPr>
        <w:t xml:space="preserve"> dann bereits jetzt problemlos u</w:t>
      </w:r>
      <w:r w:rsidR="006F3DEA">
        <w:rPr>
          <w:lang w:val="de-DE"/>
        </w:rPr>
        <w:t>m</w:t>
      </w:r>
      <w:r w:rsidR="006F3DEA">
        <w:rPr>
          <w:lang w:val="de-DE"/>
        </w:rPr>
        <w:t xml:space="preserve">setzbar. </w:t>
      </w:r>
      <w:r w:rsidR="005B21A3">
        <w:rPr>
          <w:lang w:val="de-DE"/>
        </w:rPr>
        <w:t>Auch bei Pensionskassen spricht form</w:t>
      </w:r>
      <w:r w:rsidR="003B7D10">
        <w:rPr>
          <w:lang w:val="de-DE"/>
        </w:rPr>
        <w:t>al</w:t>
      </w:r>
      <w:r w:rsidR="005B21A3">
        <w:rPr>
          <w:lang w:val="de-DE"/>
        </w:rPr>
        <w:t>rechtlich nichts gegen die Anwendung des neuen Modells. Dennoch gilt es hier, auch auf Seiten der Aufsichtsbehörde, sprich der Bundesanstalt für Finanzdienstleistungsaufsicht (BaFin), Überzeugungsarbeit zu leisten. „Ihre oberste Priorität ist der Verbraucherschutz, daher sieht die BaFin bei neuen Modellen natürlich sehr genau hin“, so Thurnes. In ersten Gesprächen hätten sich Vertr</w:t>
      </w:r>
      <w:r w:rsidR="005B21A3">
        <w:rPr>
          <w:lang w:val="de-DE"/>
        </w:rPr>
        <w:t>e</w:t>
      </w:r>
      <w:r w:rsidR="005B21A3">
        <w:rPr>
          <w:lang w:val="de-DE"/>
        </w:rPr>
        <w:t>ter aber durchaus aufgeschlossen gezeigt</w:t>
      </w:r>
      <w:r w:rsidR="00465728">
        <w:rPr>
          <w:lang w:val="de-DE"/>
        </w:rPr>
        <w:t xml:space="preserve">, zumindest </w:t>
      </w:r>
      <w:r w:rsidR="003B7D10">
        <w:rPr>
          <w:lang w:val="de-DE"/>
        </w:rPr>
        <w:t>bezüglich</w:t>
      </w:r>
      <w:r w:rsidR="00465728">
        <w:rPr>
          <w:lang w:val="de-DE"/>
        </w:rPr>
        <w:t xml:space="preserve"> eines deutlichen Schri</w:t>
      </w:r>
      <w:r w:rsidR="00465728">
        <w:rPr>
          <w:lang w:val="de-DE"/>
        </w:rPr>
        <w:t>t</w:t>
      </w:r>
      <w:r w:rsidR="00465728">
        <w:rPr>
          <w:lang w:val="de-DE"/>
        </w:rPr>
        <w:t>tes in die Richtung der neuen Dimension</w:t>
      </w:r>
      <w:r w:rsidR="005B21A3">
        <w:rPr>
          <w:lang w:val="de-DE"/>
        </w:rPr>
        <w:t xml:space="preserve">. Pensionsfonds haben derzeit allerdings </w:t>
      </w:r>
      <w:r w:rsidR="00172AF8">
        <w:rPr>
          <w:lang w:val="de-DE"/>
        </w:rPr>
        <w:t>keine</w:t>
      </w:r>
      <w:r w:rsidR="005B21A3">
        <w:rPr>
          <w:lang w:val="de-DE"/>
        </w:rPr>
        <w:t xml:space="preserve"> Möglichkeit, mit der neuen Garantiedimension zu arbeiten: Nach §112 Abs. 1a VGA u</w:t>
      </w:r>
      <w:r w:rsidR="005B21A3">
        <w:rPr>
          <w:lang w:val="de-DE"/>
        </w:rPr>
        <w:t>n</w:t>
      </w:r>
      <w:r w:rsidR="005B21A3">
        <w:rPr>
          <w:lang w:val="de-DE"/>
        </w:rPr>
        <w:t xml:space="preserve">terliegen sie nach Auslegung der BaFin </w:t>
      </w:r>
      <w:r w:rsidR="00465728">
        <w:rPr>
          <w:lang w:val="de-DE"/>
        </w:rPr>
        <w:t xml:space="preserve">in der Rentenbezugsphase </w:t>
      </w:r>
      <w:r w:rsidR="005B21A3">
        <w:rPr>
          <w:lang w:val="de-DE"/>
        </w:rPr>
        <w:t>strengen Rec</w:t>
      </w:r>
      <w:r w:rsidR="005B21A3">
        <w:rPr>
          <w:lang w:val="de-DE"/>
        </w:rPr>
        <w:t>h</w:t>
      </w:r>
      <w:r w:rsidR="005B21A3">
        <w:rPr>
          <w:lang w:val="de-DE"/>
        </w:rPr>
        <w:t>nungsgrundlagen, die eine Investition in risikoreic</w:t>
      </w:r>
      <w:r w:rsidR="00ED1796">
        <w:rPr>
          <w:lang w:val="de-DE"/>
        </w:rPr>
        <w:t xml:space="preserve">here Kapitalanlagen </w:t>
      </w:r>
      <w:r w:rsidR="00B728E0">
        <w:rPr>
          <w:lang w:val="de-DE"/>
        </w:rPr>
        <w:t xml:space="preserve">fast </w:t>
      </w:r>
      <w:r w:rsidR="00ED1796">
        <w:rPr>
          <w:lang w:val="de-DE"/>
        </w:rPr>
        <w:t xml:space="preserve">unterbinden. </w:t>
      </w:r>
      <w:r w:rsidR="00D26747">
        <w:rPr>
          <w:lang w:val="de-DE"/>
        </w:rPr>
        <w:t>„Ideal wäre es, wenn der Gesetzgeber – wie die Regierung der Niederlande – hier Schü</w:t>
      </w:r>
      <w:r w:rsidR="00D26747">
        <w:rPr>
          <w:lang w:val="de-DE"/>
        </w:rPr>
        <w:t>t</w:t>
      </w:r>
      <w:r w:rsidR="00D26747">
        <w:rPr>
          <w:lang w:val="de-DE"/>
        </w:rPr>
        <w:t xml:space="preserve">zenhilfe leistet und </w:t>
      </w:r>
      <w:r w:rsidR="00DC4D97">
        <w:rPr>
          <w:lang w:val="de-DE"/>
        </w:rPr>
        <w:t>die Gesetzgebung den Marktbedingun</w:t>
      </w:r>
      <w:r w:rsidR="00F432D5">
        <w:rPr>
          <w:lang w:val="de-DE"/>
        </w:rPr>
        <w:t>gen anpasst, nicht zuletzt au</w:t>
      </w:r>
      <w:r w:rsidR="00F432D5">
        <w:rPr>
          <w:lang w:val="de-DE"/>
        </w:rPr>
        <w:t>f</w:t>
      </w:r>
      <w:r w:rsidR="00F432D5">
        <w:rPr>
          <w:lang w:val="de-DE"/>
        </w:rPr>
        <w:t>grund der drohenden Rentenlücke.</w:t>
      </w:r>
      <w:r w:rsidR="00DC4D97">
        <w:rPr>
          <w:lang w:val="de-DE"/>
        </w:rPr>
        <w:t>“</w:t>
      </w:r>
    </w:p>
    <w:p w14:paraId="40D533F9" w14:textId="77777777" w:rsidR="00065259" w:rsidRDefault="00065259">
      <w:pPr>
        <w:widowControl w:val="0"/>
        <w:spacing w:line="312" w:lineRule="auto"/>
        <w:ind w:right="992"/>
        <w:rPr>
          <w:lang w:val="de-DE"/>
        </w:rPr>
      </w:pPr>
    </w:p>
    <w:p w14:paraId="4C66879E" w14:textId="77777777" w:rsidR="00AD7200" w:rsidRPr="00065259" w:rsidRDefault="00AD7200">
      <w:pPr>
        <w:widowControl w:val="0"/>
        <w:spacing w:line="312" w:lineRule="auto"/>
        <w:ind w:right="992"/>
        <w:rPr>
          <w:lang w:val="de-DE"/>
        </w:rPr>
      </w:pPr>
    </w:p>
    <w:tbl>
      <w:tblPr>
        <w:tblW w:w="9142" w:type="dxa"/>
        <w:tblCellMar>
          <w:left w:w="70" w:type="dxa"/>
          <w:right w:w="70" w:type="dxa"/>
        </w:tblCellMar>
        <w:tblLook w:val="0000" w:firstRow="0" w:lastRow="0" w:firstColumn="0" w:lastColumn="0" w:noHBand="0" w:noVBand="0"/>
      </w:tblPr>
      <w:tblGrid>
        <w:gridCol w:w="4606"/>
        <w:gridCol w:w="4536"/>
      </w:tblGrid>
      <w:tr w:rsidR="0026712F" w:rsidRPr="00CD1E59" w14:paraId="42F25FEA" w14:textId="77777777">
        <w:trPr>
          <w:trHeight w:val="1064"/>
        </w:trPr>
        <w:tc>
          <w:tcPr>
            <w:tcW w:w="4606" w:type="dxa"/>
          </w:tcPr>
          <w:p w14:paraId="4E37A4B5" w14:textId="22FFC527" w:rsidR="0026712F" w:rsidRPr="00596F23" w:rsidRDefault="0026712F" w:rsidP="00EC51A8">
            <w:pPr>
              <w:ind w:right="-1"/>
              <w:rPr>
                <w:sz w:val="18"/>
                <w:lang w:val="de-DE"/>
              </w:rPr>
            </w:pPr>
            <w:r w:rsidRPr="00596F23">
              <w:rPr>
                <w:b/>
                <w:sz w:val="18"/>
                <w:lang w:val="de-DE"/>
              </w:rPr>
              <w:t>Kontakt:</w:t>
            </w:r>
            <w:r w:rsidRPr="00596F23">
              <w:rPr>
                <w:sz w:val="18"/>
                <w:lang w:val="de-DE"/>
              </w:rPr>
              <w:br/>
              <w:t xml:space="preserve">Aon Hewitt GmbH – </w:t>
            </w:r>
            <w:r w:rsidR="00EC51A8">
              <w:rPr>
                <w:sz w:val="18"/>
                <w:lang w:val="de-DE"/>
              </w:rPr>
              <w:t>Melanie Vogt</w:t>
            </w:r>
            <w:r w:rsidRPr="00596F23">
              <w:rPr>
                <w:sz w:val="18"/>
                <w:lang w:val="de-DE"/>
              </w:rPr>
              <w:br/>
              <w:t xml:space="preserve">Tel.: </w:t>
            </w:r>
            <w:r w:rsidR="00A75AE8">
              <w:rPr>
                <w:sz w:val="18"/>
                <w:lang w:val="de-DE"/>
              </w:rPr>
              <w:t>+49 89 88987-0</w:t>
            </w:r>
            <w:r w:rsidRPr="00596F23">
              <w:rPr>
                <w:sz w:val="18"/>
                <w:lang w:val="de-DE"/>
              </w:rPr>
              <w:br/>
              <w:t>pressegermany@aonhewitt.com – www.aonhewitt.de</w:t>
            </w:r>
          </w:p>
        </w:tc>
        <w:tc>
          <w:tcPr>
            <w:tcW w:w="4536" w:type="dxa"/>
          </w:tcPr>
          <w:p w14:paraId="47B69802" w14:textId="77777777" w:rsidR="0026712F" w:rsidRPr="00596F23" w:rsidRDefault="0026712F" w:rsidP="00133D27">
            <w:pPr>
              <w:ind w:right="-1"/>
              <w:rPr>
                <w:sz w:val="18"/>
                <w:lang w:val="de-DE"/>
              </w:rPr>
            </w:pPr>
            <w:r w:rsidRPr="00596F23">
              <w:rPr>
                <w:b/>
                <w:sz w:val="18"/>
                <w:lang w:val="de-DE"/>
              </w:rPr>
              <w:t>Presse- und Öffentlichkeitsarbeit:</w:t>
            </w:r>
            <w:r w:rsidRPr="00596F23">
              <w:rPr>
                <w:sz w:val="18"/>
                <w:lang w:val="de-DE"/>
              </w:rPr>
              <w:br/>
              <w:t>Press'n'Relations GmbH – Andrea Wagner</w:t>
            </w:r>
            <w:r w:rsidRPr="00596F23">
              <w:rPr>
                <w:sz w:val="18"/>
                <w:lang w:val="de-DE"/>
              </w:rPr>
              <w:br/>
              <w:t>Gräfstr. 66 – D-81241 München</w:t>
            </w:r>
            <w:r w:rsidRPr="00596F23">
              <w:rPr>
                <w:sz w:val="18"/>
                <w:lang w:val="de-DE"/>
              </w:rPr>
              <w:br/>
              <w:t>Tel.: +49 89 5404 722-20 – Fax: +49 89 5404 722-29</w:t>
            </w:r>
            <w:r w:rsidRPr="00596F23">
              <w:rPr>
                <w:sz w:val="18"/>
                <w:lang w:val="de-DE"/>
              </w:rPr>
              <w:br/>
              <w:t xml:space="preserve">aw@press-n-relations.de – </w:t>
            </w:r>
            <w:bookmarkStart w:id="0" w:name="_GoBack"/>
            <w:r w:rsidR="00F2389A">
              <w:fldChar w:fldCharType="begin"/>
            </w:r>
            <w:r w:rsidR="00F2389A" w:rsidRPr="009E730B">
              <w:instrText xml:space="preserve"> HYPERLINK "http://www.press-n-relations.com" </w:instrText>
            </w:r>
            <w:r w:rsidR="00F2389A">
              <w:fldChar w:fldCharType="separate"/>
            </w:r>
            <w:r w:rsidRPr="00596F23">
              <w:rPr>
                <w:sz w:val="18"/>
                <w:lang w:val="de-DE"/>
              </w:rPr>
              <w:t>www.press-n-relations.com</w:t>
            </w:r>
            <w:r w:rsidR="00F2389A">
              <w:rPr>
                <w:sz w:val="18"/>
                <w:lang w:val="de-DE"/>
              </w:rPr>
              <w:fldChar w:fldCharType="end"/>
            </w:r>
            <w:bookmarkEnd w:id="0"/>
          </w:p>
        </w:tc>
      </w:tr>
    </w:tbl>
    <w:p w14:paraId="67567005" w14:textId="77777777" w:rsidR="0026712F" w:rsidRDefault="0026712F">
      <w:pPr>
        <w:rPr>
          <w:rFonts w:ascii="Helvetica" w:hAnsi="Helvetica"/>
          <w:b/>
          <w:sz w:val="18"/>
          <w:lang w:val="de-DE"/>
        </w:rPr>
      </w:pPr>
    </w:p>
    <w:p w14:paraId="7A144BC0" w14:textId="77777777" w:rsidR="0026712F" w:rsidRPr="00E36006" w:rsidRDefault="0026712F">
      <w:pPr>
        <w:rPr>
          <w:b/>
          <w:sz w:val="18"/>
          <w:lang w:val="de-DE"/>
        </w:rPr>
      </w:pPr>
      <w:r w:rsidRPr="00E36006">
        <w:rPr>
          <w:b/>
          <w:sz w:val="18"/>
          <w:lang w:val="de-DE"/>
        </w:rPr>
        <w:t xml:space="preserve">Über Aon Hewitt </w:t>
      </w:r>
    </w:p>
    <w:p w14:paraId="77AB0014" w14:textId="1C38B1D0" w:rsidR="0026712F" w:rsidRDefault="0026712F">
      <w:pPr>
        <w:rPr>
          <w:sz w:val="18"/>
          <w:lang w:val="de-DE"/>
        </w:rPr>
      </w:pPr>
      <w:r>
        <w:rPr>
          <w:sz w:val="18"/>
          <w:lang w:val="de-DE"/>
        </w:rPr>
        <w:t>Aon Hewitt ist weltweit führend in Sachen HR-Lösungen. Das Unternehmen konzipiert, implementiert, komm</w:t>
      </w:r>
      <w:r>
        <w:rPr>
          <w:sz w:val="18"/>
          <w:lang w:val="de-DE"/>
        </w:rPr>
        <w:t>u</w:t>
      </w:r>
      <w:r>
        <w:rPr>
          <w:sz w:val="18"/>
          <w:lang w:val="de-DE"/>
        </w:rPr>
        <w:t>niziert und verwaltet Lösungen und Strategien in den Bereichen Human Resources, Investment Consulting, Pension Administration, Vergütung und Talent Management. Zudem berät Aon Hewitt in komplexen Frageste</w:t>
      </w:r>
      <w:r>
        <w:rPr>
          <w:sz w:val="18"/>
          <w:lang w:val="de-DE"/>
        </w:rPr>
        <w:t>l</w:t>
      </w:r>
      <w:r>
        <w:rPr>
          <w:sz w:val="18"/>
          <w:lang w:val="de-DE"/>
        </w:rPr>
        <w:t>lungen der betrieblichen Altersversorgung. Weltweit ist Aon Hewitt mit mehr als 29.000 Mitarbeitern in 90 Lä</w:t>
      </w:r>
      <w:r>
        <w:rPr>
          <w:sz w:val="18"/>
          <w:lang w:val="de-DE"/>
        </w:rPr>
        <w:t>n</w:t>
      </w:r>
      <w:r>
        <w:rPr>
          <w:sz w:val="18"/>
          <w:lang w:val="de-DE"/>
        </w:rPr>
        <w:t xml:space="preserve">dern vertreten. In Deutschland arbeiten </w:t>
      </w:r>
      <w:r w:rsidR="003B7D10">
        <w:rPr>
          <w:sz w:val="18"/>
          <w:lang w:val="de-DE"/>
        </w:rPr>
        <w:t xml:space="preserve">über </w:t>
      </w:r>
      <w:r>
        <w:rPr>
          <w:sz w:val="18"/>
          <w:lang w:val="de-DE"/>
        </w:rPr>
        <w:t xml:space="preserve">400 Mitarbeiter an den Standorten München, Mülheim, </w:t>
      </w:r>
      <w:r w:rsidR="008E34FB">
        <w:rPr>
          <w:sz w:val="18"/>
          <w:lang w:val="de-DE"/>
        </w:rPr>
        <w:t>Frankfurt, Wiesbaden, Stuttgart und</w:t>
      </w:r>
      <w:r>
        <w:rPr>
          <w:sz w:val="18"/>
          <w:lang w:val="de-DE"/>
        </w:rPr>
        <w:t xml:space="preserve"> Hambur</w:t>
      </w:r>
      <w:r w:rsidR="008E34FB">
        <w:rPr>
          <w:sz w:val="18"/>
          <w:lang w:val="de-DE"/>
        </w:rPr>
        <w:t>g</w:t>
      </w:r>
      <w:r>
        <w:rPr>
          <w:sz w:val="18"/>
          <w:lang w:val="de-DE"/>
        </w:rPr>
        <w:t>. Weitere Informationen zu Aon Hewitt finden Sie unter www.aonhewitt.de.</w:t>
      </w:r>
    </w:p>
    <w:p w14:paraId="762EFEDE" w14:textId="77777777" w:rsidR="0026712F" w:rsidRDefault="0026712F">
      <w:pPr>
        <w:rPr>
          <w:b/>
          <w:sz w:val="18"/>
          <w:lang w:val="de-DE"/>
        </w:rPr>
      </w:pPr>
    </w:p>
    <w:p w14:paraId="03F47161" w14:textId="77777777" w:rsidR="0026712F" w:rsidRDefault="0026712F">
      <w:pPr>
        <w:rPr>
          <w:b/>
          <w:sz w:val="18"/>
          <w:lang w:val="de-DE"/>
        </w:rPr>
      </w:pPr>
      <w:r>
        <w:rPr>
          <w:b/>
          <w:sz w:val="18"/>
          <w:lang w:val="de-DE"/>
        </w:rPr>
        <w:t>Über Aon</w:t>
      </w:r>
    </w:p>
    <w:p w14:paraId="53AE4AE9" w14:textId="77777777" w:rsidR="0026712F" w:rsidRDefault="008E34FB">
      <w:pPr>
        <w:rPr>
          <w:rFonts w:ascii="Times New Roman" w:hAnsi="Times New Roman"/>
          <w:color w:val="auto"/>
          <w:lang w:val="de-DE"/>
        </w:rPr>
      </w:pPr>
      <w:r w:rsidRPr="008E34FB">
        <w:rPr>
          <w:sz w:val="18"/>
          <w:lang w:val="de-DE"/>
        </w:rPr>
        <w:t>Der Aon Konzern ist der führende globale Dienstleister für Risikomanagement, HR-Lösungen und Outsourcing-Services sowie Versicherungs- und Rückversicherungsmakler. Weltweit ermöglichen es mehr als 65.000 Mita</w:t>
      </w:r>
      <w:r w:rsidRPr="008E34FB">
        <w:rPr>
          <w:sz w:val="18"/>
          <w:lang w:val="de-DE"/>
        </w:rPr>
        <w:t>r</w:t>
      </w:r>
      <w:r w:rsidRPr="008E34FB">
        <w:rPr>
          <w:sz w:val="18"/>
          <w:lang w:val="de-DE"/>
        </w:rPr>
        <w:t>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w:t>
      </w:r>
      <w:r w:rsidRPr="008E34FB">
        <w:rPr>
          <w:sz w:val="18"/>
          <w:lang w:val="de-DE"/>
        </w:rPr>
        <w:t>e</w:t>
      </w:r>
      <w:r w:rsidRPr="008E34FB">
        <w:rPr>
          <w:sz w:val="18"/>
          <w:lang w:val="de-DE"/>
        </w:rPr>
        <w:t xml:space="preserve">rungsmakler, </w:t>
      </w:r>
      <w:proofErr w:type="spellStart"/>
      <w:r w:rsidRPr="008E34FB">
        <w:rPr>
          <w:sz w:val="18"/>
          <w:lang w:val="de-DE"/>
        </w:rPr>
        <w:t>Captive</w:t>
      </w:r>
      <w:proofErr w:type="spellEnd"/>
      <w:r w:rsidRPr="008E34FB">
        <w:rPr>
          <w:sz w:val="18"/>
          <w:lang w:val="de-DE"/>
        </w:rPr>
        <w:t xml:space="preserve"> Manager und Berater für Sozialleistungen ausgezeichnet. Weitere Informationen zu Aon gibt es unter www.aon.com, unter www.aon.com/unitedin2010 zudem alles über die globale Partnerschaft zw</w:t>
      </w:r>
      <w:r w:rsidRPr="008E34FB">
        <w:rPr>
          <w:sz w:val="18"/>
          <w:lang w:val="de-DE"/>
        </w:rPr>
        <w:t>i</w:t>
      </w:r>
      <w:r w:rsidRPr="008E34FB">
        <w:rPr>
          <w:sz w:val="18"/>
          <w:lang w:val="de-DE"/>
        </w:rPr>
        <w:t>schen Aon und Manchester United inklusive Trikotsponsoring des Vereins durch Aon.</w:t>
      </w:r>
    </w:p>
    <w:sectPr w:rsidR="0026712F" w:rsidSect="00AD7F55">
      <w:headerReference w:type="even" r:id="rId8"/>
      <w:headerReference w:type="default" r:id="rId9"/>
      <w:pgSz w:w="11900" w:h="16840"/>
      <w:pgMar w:top="2552" w:right="1416" w:bottom="1843" w:left="1560" w:header="567" w:footer="709"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538E68" w14:textId="77777777" w:rsidR="00D00D3E" w:rsidRDefault="00D00D3E" w:rsidP="00EB5F64">
      <w:r>
        <w:separator/>
      </w:r>
    </w:p>
  </w:endnote>
  <w:endnote w:type="continuationSeparator" w:id="0">
    <w:p w14:paraId="3D80B7AC" w14:textId="77777777" w:rsidR="00D00D3E" w:rsidRDefault="00D00D3E" w:rsidP="00EB5F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 Pro W3">
    <w:altName w:val="ＭＳ 明朝"/>
    <w:panose1 w:val="00000000000000000000"/>
    <w:charset w:val="80"/>
    <w:family w:val="auto"/>
    <w:notTrueType/>
    <w:pitch w:val="variable"/>
    <w:sig w:usb0="00000001" w:usb1="08070000" w:usb2="00000010" w:usb3="00000000" w:csb0="00020000" w:csb1="00000000"/>
  </w:font>
  <w:font w:name="Lucida Grande">
    <w:altName w:val="Arial"/>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FDFF3A" w14:textId="77777777" w:rsidR="00D00D3E" w:rsidRDefault="00D00D3E" w:rsidP="00EB5F64">
      <w:r>
        <w:separator/>
      </w:r>
    </w:p>
  </w:footnote>
  <w:footnote w:type="continuationSeparator" w:id="0">
    <w:p w14:paraId="0396BC2D" w14:textId="77777777" w:rsidR="00D00D3E" w:rsidRDefault="00D00D3E" w:rsidP="00EB5F6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9787B4" w14:textId="77777777" w:rsidR="00657DE1" w:rsidRDefault="00657DE1">
    <w:pPr>
      <w:pStyle w:val="Kopfzeile"/>
      <w:spacing w:line="336" w:lineRule="auto"/>
      <w:rPr>
        <w:sz w:val="18"/>
        <w:lang w:val="de-DE"/>
      </w:rPr>
    </w:pPr>
  </w:p>
  <w:p w14:paraId="433DBED6" w14:textId="77777777" w:rsidR="00657DE1" w:rsidRDefault="00657DE1">
    <w:pPr>
      <w:pStyle w:val="Kopfzeile"/>
      <w:spacing w:line="336" w:lineRule="auto"/>
      <w:rPr>
        <w:sz w:val="18"/>
      </w:rPr>
    </w:pPr>
  </w:p>
  <w:p w14:paraId="32CEE54B" w14:textId="77777777" w:rsidR="00657DE1" w:rsidRDefault="00657DE1">
    <w:pPr>
      <w:spacing w:line="336" w:lineRule="auto"/>
      <w:rPr>
        <w:sz w:val="18"/>
      </w:rPr>
    </w:pPr>
  </w:p>
  <w:p w14:paraId="463F4803" w14:textId="77777777" w:rsidR="00657DE1" w:rsidRDefault="00657DE1">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58240" behindDoc="1" locked="0" layoutInCell="1" allowOverlap="1" wp14:anchorId="28939BD5" wp14:editId="41CE0DED">
          <wp:simplePos x="0" y="0"/>
          <wp:positionH relativeFrom="page">
            <wp:posOffset>4785995</wp:posOffset>
          </wp:positionH>
          <wp:positionV relativeFrom="page">
            <wp:posOffset>512445</wp:posOffset>
          </wp:positionV>
          <wp:extent cx="2210435" cy="860425"/>
          <wp:effectExtent l="0" t="0" r="0" b="0"/>
          <wp:wrapNone/>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DFFA41" w14:textId="77777777" w:rsidR="00657DE1" w:rsidRDefault="00657DE1">
    <w:pPr>
      <w:pStyle w:val="Kopfzeile"/>
      <w:spacing w:line="336" w:lineRule="auto"/>
      <w:rPr>
        <w:sz w:val="18"/>
        <w:lang w:val="de-DE"/>
      </w:rPr>
    </w:pPr>
  </w:p>
  <w:p w14:paraId="149083D4" w14:textId="77777777" w:rsidR="00657DE1" w:rsidRDefault="00657DE1">
    <w:pPr>
      <w:pStyle w:val="Kopfzeile"/>
      <w:spacing w:line="336" w:lineRule="auto"/>
      <w:rPr>
        <w:sz w:val="18"/>
      </w:rPr>
    </w:pPr>
  </w:p>
  <w:p w14:paraId="071E2B5E" w14:textId="77777777" w:rsidR="00657DE1" w:rsidRDefault="00657DE1">
    <w:pPr>
      <w:spacing w:line="336" w:lineRule="auto"/>
      <w:rPr>
        <w:sz w:val="18"/>
      </w:rPr>
    </w:pPr>
  </w:p>
  <w:p w14:paraId="2B727656" w14:textId="77777777" w:rsidR="00657DE1" w:rsidRDefault="00657DE1">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57216" behindDoc="1" locked="0" layoutInCell="1" allowOverlap="1" wp14:anchorId="18F904E2" wp14:editId="243D0607">
          <wp:simplePos x="0" y="0"/>
          <wp:positionH relativeFrom="page">
            <wp:posOffset>4785995</wp:posOffset>
          </wp:positionH>
          <wp:positionV relativeFrom="page">
            <wp:posOffset>512445</wp:posOffset>
          </wp:positionV>
          <wp:extent cx="2210435" cy="860425"/>
          <wp:effectExtent l="0" t="0" r="0" b="0"/>
          <wp:wrapNone/>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trackRevisions/>
  <w:defaultTabStop w:val="720"/>
  <w:autoHyphenation/>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8B6"/>
    <w:rsid w:val="00000E3E"/>
    <w:rsid w:val="000060AF"/>
    <w:rsid w:val="00012847"/>
    <w:rsid w:val="0002403E"/>
    <w:rsid w:val="000250D2"/>
    <w:rsid w:val="00044A0A"/>
    <w:rsid w:val="0004674C"/>
    <w:rsid w:val="00047D9D"/>
    <w:rsid w:val="00056A80"/>
    <w:rsid w:val="00065259"/>
    <w:rsid w:val="00067098"/>
    <w:rsid w:val="000913E6"/>
    <w:rsid w:val="00095017"/>
    <w:rsid w:val="00096623"/>
    <w:rsid w:val="000A5620"/>
    <w:rsid w:val="000C7F33"/>
    <w:rsid w:val="000E0F86"/>
    <w:rsid w:val="000F5048"/>
    <w:rsid w:val="00123E71"/>
    <w:rsid w:val="00126681"/>
    <w:rsid w:val="00131469"/>
    <w:rsid w:val="00133D27"/>
    <w:rsid w:val="00134419"/>
    <w:rsid w:val="001500B5"/>
    <w:rsid w:val="00151548"/>
    <w:rsid w:val="00165BAF"/>
    <w:rsid w:val="00171AFE"/>
    <w:rsid w:val="00172AF8"/>
    <w:rsid w:val="00182471"/>
    <w:rsid w:val="00190036"/>
    <w:rsid w:val="0019362D"/>
    <w:rsid w:val="001947D9"/>
    <w:rsid w:val="001B18EB"/>
    <w:rsid w:val="001B426A"/>
    <w:rsid w:val="001B5118"/>
    <w:rsid w:val="001B636A"/>
    <w:rsid w:val="001C7271"/>
    <w:rsid w:val="001E1B0B"/>
    <w:rsid w:val="001E50DB"/>
    <w:rsid w:val="001E7F9A"/>
    <w:rsid w:val="001F6516"/>
    <w:rsid w:val="001F6AB1"/>
    <w:rsid w:val="002000A2"/>
    <w:rsid w:val="00200C02"/>
    <w:rsid w:val="00212F1A"/>
    <w:rsid w:val="00213F63"/>
    <w:rsid w:val="00236583"/>
    <w:rsid w:val="00242A50"/>
    <w:rsid w:val="00262524"/>
    <w:rsid w:val="0026712F"/>
    <w:rsid w:val="00271B99"/>
    <w:rsid w:val="00273C10"/>
    <w:rsid w:val="00297472"/>
    <w:rsid w:val="002A1954"/>
    <w:rsid w:val="002A1DDA"/>
    <w:rsid w:val="002A3585"/>
    <w:rsid w:val="002A5A2C"/>
    <w:rsid w:val="002B56F3"/>
    <w:rsid w:val="002B77E9"/>
    <w:rsid w:val="002D1F9A"/>
    <w:rsid w:val="002E37F1"/>
    <w:rsid w:val="002E5C1B"/>
    <w:rsid w:val="002E7064"/>
    <w:rsid w:val="002F5E97"/>
    <w:rsid w:val="0030558B"/>
    <w:rsid w:val="003077BE"/>
    <w:rsid w:val="003113C2"/>
    <w:rsid w:val="0032053C"/>
    <w:rsid w:val="0032076F"/>
    <w:rsid w:val="00323D8F"/>
    <w:rsid w:val="003315EF"/>
    <w:rsid w:val="0033282E"/>
    <w:rsid w:val="00334F96"/>
    <w:rsid w:val="003400D1"/>
    <w:rsid w:val="0034114F"/>
    <w:rsid w:val="00354B61"/>
    <w:rsid w:val="00364935"/>
    <w:rsid w:val="00375BC6"/>
    <w:rsid w:val="003A5987"/>
    <w:rsid w:val="003A5E57"/>
    <w:rsid w:val="003B1635"/>
    <w:rsid w:val="003B7D10"/>
    <w:rsid w:val="003C55C0"/>
    <w:rsid w:val="003C70F4"/>
    <w:rsid w:val="003E210A"/>
    <w:rsid w:val="003E4696"/>
    <w:rsid w:val="003E4A43"/>
    <w:rsid w:val="003E55D6"/>
    <w:rsid w:val="00416CB9"/>
    <w:rsid w:val="0042179D"/>
    <w:rsid w:val="00441974"/>
    <w:rsid w:val="00442594"/>
    <w:rsid w:val="00450941"/>
    <w:rsid w:val="0045156A"/>
    <w:rsid w:val="00455319"/>
    <w:rsid w:val="00465728"/>
    <w:rsid w:val="004822D8"/>
    <w:rsid w:val="00497068"/>
    <w:rsid w:val="004A343A"/>
    <w:rsid w:val="004A50C2"/>
    <w:rsid w:val="004A5794"/>
    <w:rsid w:val="004B0C58"/>
    <w:rsid w:val="004C4EB7"/>
    <w:rsid w:val="004D15B6"/>
    <w:rsid w:val="004D4026"/>
    <w:rsid w:val="004D6A2D"/>
    <w:rsid w:val="004E609A"/>
    <w:rsid w:val="004E6A79"/>
    <w:rsid w:val="00502D11"/>
    <w:rsid w:val="00502DA1"/>
    <w:rsid w:val="005035A7"/>
    <w:rsid w:val="00517791"/>
    <w:rsid w:val="0053049D"/>
    <w:rsid w:val="00530CE5"/>
    <w:rsid w:val="005371F8"/>
    <w:rsid w:val="00560522"/>
    <w:rsid w:val="00566A71"/>
    <w:rsid w:val="005903D0"/>
    <w:rsid w:val="00596F23"/>
    <w:rsid w:val="005A093E"/>
    <w:rsid w:val="005A09AE"/>
    <w:rsid w:val="005A69BC"/>
    <w:rsid w:val="005B1B41"/>
    <w:rsid w:val="005B21A3"/>
    <w:rsid w:val="005B4B90"/>
    <w:rsid w:val="005C25C6"/>
    <w:rsid w:val="005C2EFA"/>
    <w:rsid w:val="005D1F16"/>
    <w:rsid w:val="005E1A8D"/>
    <w:rsid w:val="005E1CA1"/>
    <w:rsid w:val="005E5A4B"/>
    <w:rsid w:val="005F2998"/>
    <w:rsid w:val="00613C40"/>
    <w:rsid w:val="00615342"/>
    <w:rsid w:val="00623233"/>
    <w:rsid w:val="0063091C"/>
    <w:rsid w:val="00642285"/>
    <w:rsid w:val="00646BAF"/>
    <w:rsid w:val="00657DE1"/>
    <w:rsid w:val="006646A9"/>
    <w:rsid w:val="00675A78"/>
    <w:rsid w:val="00680886"/>
    <w:rsid w:val="0068298F"/>
    <w:rsid w:val="00684278"/>
    <w:rsid w:val="00690D36"/>
    <w:rsid w:val="006B1D48"/>
    <w:rsid w:val="006B2921"/>
    <w:rsid w:val="006B6C4D"/>
    <w:rsid w:val="006C027C"/>
    <w:rsid w:val="006D63C4"/>
    <w:rsid w:val="006E1C5E"/>
    <w:rsid w:val="006F3DEA"/>
    <w:rsid w:val="007049CE"/>
    <w:rsid w:val="007054C7"/>
    <w:rsid w:val="00711B64"/>
    <w:rsid w:val="00722576"/>
    <w:rsid w:val="00724E61"/>
    <w:rsid w:val="00727A3A"/>
    <w:rsid w:val="00744DB6"/>
    <w:rsid w:val="00746378"/>
    <w:rsid w:val="007526E0"/>
    <w:rsid w:val="007566B4"/>
    <w:rsid w:val="00776D10"/>
    <w:rsid w:val="00787D17"/>
    <w:rsid w:val="007A5640"/>
    <w:rsid w:val="007E4C21"/>
    <w:rsid w:val="007F6599"/>
    <w:rsid w:val="00803D1C"/>
    <w:rsid w:val="0081395A"/>
    <w:rsid w:val="008157AD"/>
    <w:rsid w:val="0082653A"/>
    <w:rsid w:val="00833AB6"/>
    <w:rsid w:val="0083683B"/>
    <w:rsid w:val="00846ED0"/>
    <w:rsid w:val="00855706"/>
    <w:rsid w:val="00860DE1"/>
    <w:rsid w:val="00882336"/>
    <w:rsid w:val="0089590C"/>
    <w:rsid w:val="00895A71"/>
    <w:rsid w:val="008B0613"/>
    <w:rsid w:val="008B39C0"/>
    <w:rsid w:val="008E31AC"/>
    <w:rsid w:val="008E34FB"/>
    <w:rsid w:val="008E78E1"/>
    <w:rsid w:val="008F29E0"/>
    <w:rsid w:val="00943C74"/>
    <w:rsid w:val="00944243"/>
    <w:rsid w:val="009518B6"/>
    <w:rsid w:val="00953C10"/>
    <w:rsid w:val="009729DC"/>
    <w:rsid w:val="00983D3E"/>
    <w:rsid w:val="009A0F36"/>
    <w:rsid w:val="009C26AF"/>
    <w:rsid w:val="009D059F"/>
    <w:rsid w:val="009E730B"/>
    <w:rsid w:val="009F6A9D"/>
    <w:rsid w:val="00A03102"/>
    <w:rsid w:val="00A043AA"/>
    <w:rsid w:val="00A11B8A"/>
    <w:rsid w:val="00A17765"/>
    <w:rsid w:val="00A2004C"/>
    <w:rsid w:val="00A23853"/>
    <w:rsid w:val="00A26A46"/>
    <w:rsid w:val="00A545C4"/>
    <w:rsid w:val="00A75AE8"/>
    <w:rsid w:val="00A76E3D"/>
    <w:rsid w:val="00A95F25"/>
    <w:rsid w:val="00A962A2"/>
    <w:rsid w:val="00AA0DB9"/>
    <w:rsid w:val="00AA3166"/>
    <w:rsid w:val="00AB6E79"/>
    <w:rsid w:val="00AC34C1"/>
    <w:rsid w:val="00AC4294"/>
    <w:rsid w:val="00AD431C"/>
    <w:rsid w:val="00AD7200"/>
    <w:rsid w:val="00AD7F55"/>
    <w:rsid w:val="00AE0FA1"/>
    <w:rsid w:val="00AE2D2A"/>
    <w:rsid w:val="00AE397C"/>
    <w:rsid w:val="00AF5239"/>
    <w:rsid w:val="00B0164D"/>
    <w:rsid w:val="00B1750C"/>
    <w:rsid w:val="00B313CA"/>
    <w:rsid w:val="00B338B7"/>
    <w:rsid w:val="00B3615C"/>
    <w:rsid w:val="00B43040"/>
    <w:rsid w:val="00B4427F"/>
    <w:rsid w:val="00B55AF1"/>
    <w:rsid w:val="00B728E0"/>
    <w:rsid w:val="00B81F01"/>
    <w:rsid w:val="00B8265F"/>
    <w:rsid w:val="00B833C1"/>
    <w:rsid w:val="00B90EFC"/>
    <w:rsid w:val="00B9703B"/>
    <w:rsid w:val="00BA6106"/>
    <w:rsid w:val="00BB299F"/>
    <w:rsid w:val="00BC1506"/>
    <w:rsid w:val="00BD0B53"/>
    <w:rsid w:val="00BE1FF4"/>
    <w:rsid w:val="00C02958"/>
    <w:rsid w:val="00C06F64"/>
    <w:rsid w:val="00C13DEA"/>
    <w:rsid w:val="00C40A58"/>
    <w:rsid w:val="00C66DF9"/>
    <w:rsid w:val="00C7000C"/>
    <w:rsid w:val="00C779D0"/>
    <w:rsid w:val="00C82507"/>
    <w:rsid w:val="00C84CC2"/>
    <w:rsid w:val="00CC2FAD"/>
    <w:rsid w:val="00CC536F"/>
    <w:rsid w:val="00CD1E59"/>
    <w:rsid w:val="00CD4FBD"/>
    <w:rsid w:val="00CE1700"/>
    <w:rsid w:val="00CE6544"/>
    <w:rsid w:val="00D00D3E"/>
    <w:rsid w:val="00D05222"/>
    <w:rsid w:val="00D114C2"/>
    <w:rsid w:val="00D22D49"/>
    <w:rsid w:val="00D26747"/>
    <w:rsid w:val="00D30DA2"/>
    <w:rsid w:val="00D61914"/>
    <w:rsid w:val="00D650D4"/>
    <w:rsid w:val="00D66466"/>
    <w:rsid w:val="00D70F84"/>
    <w:rsid w:val="00D80C20"/>
    <w:rsid w:val="00DA2FA0"/>
    <w:rsid w:val="00DA7F77"/>
    <w:rsid w:val="00DC26EF"/>
    <w:rsid w:val="00DC3F78"/>
    <w:rsid w:val="00DC4BD2"/>
    <w:rsid w:val="00DC4D97"/>
    <w:rsid w:val="00DE4002"/>
    <w:rsid w:val="00DF6728"/>
    <w:rsid w:val="00E01EBE"/>
    <w:rsid w:val="00E12426"/>
    <w:rsid w:val="00E13BAC"/>
    <w:rsid w:val="00E32C8A"/>
    <w:rsid w:val="00E32F6B"/>
    <w:rsid w:val="00E36006"/>
    <w:rsid w:val="00E51A8E"/>
    <w:rsid w:val="00E53566"/>
    <w:rsid w:val="00E67854"/>
    <w:rsid w:val="00E71BAB"/>
    <w:rsid w:val="00E749C4"/>
    <w:rsid w:val="00E74D66"/>
    <w:rsid w:val="00EA6564"/>
    <w:rsid w:val="00EB2CD7"/>
    <w:rsid w:val="00EB39DA"/>
    <w:rsid w:val="00EB4611"/>
    <w:rsid w:val="00EB5F64"/>
    <w:rsid w:val="00EC51A8"/>
    <w:rsid w:val="00ED1796"/>
    <w:rsid w:val="00ED7218"/>
    <w:rsid w:val="00EE1C5D"/>
    <w:rsid w:val="00EF36B0"/>
    <w:rsid w:val="00F03DD7"/>
    <w:rsid w:val="00F10F1A"/>
    <w:rsid w:val="00F113E4"/>
    <w:rsid w:val="00F22C0E"/>
    <w:rsid w:val="00F2389A"/>
    <w:rsid w:val="00F310E5"/>
    <w:rsid w:val="00F432D5"/>
    <w:rsid w:val="00F50305"/>
    <w:rsid w:val="00F55CB1"/>
    <w:rsid w:val="00F565E1"/>
    <w:rsid w:val="00F71503"/>
    <w:rsid w:val="00F72E83"/>
    <w:rsid w:val="00F73695"/>
    <w:rsid w:val="00F86737"/>
    <w:rsid w:val="00F91C34"/>
    <w:rsid w:val="00F9445C"/>
    <w:rsid w:val="00F961F9"/>
    <w:rsid w:val="00FA0548"/>
    <w:rsid w:val="00FA38EF"/>
    <w:rsid w:val="00FC21D2"/>
    <w:rsid w:val="00FC2303"/>
    <w:rsid w:val="00FC263E"/>
    <w:rsid w:val="00FC6651"/>
    <w:rsid w:val="00FD143D"/>
    <w:rsid w:val="00FE3BF1"/>
    <w:rsid w:val="00FE5D5E"/>
    <w:rsid w:val="00FF548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9EEA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76">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autoRedefine/>
    <w:uiPriority w:val="99"/>
    <w:rsid w:val="00AD7F55"/>
    <w:pPr>
      <w:tabs>
        <w:tab w:val="center" w:pos="4153"/>
        <w:tab w:val="right" w:pos="8306"/>
      </w:tabs>
    </w:pPr>
  </w:style>
  <w:style w:type="character" w:customStyle="1" w:styleId="KopfzeileZeichen">
    <w:name w:val="Kopfzeile Zeichen"/>
    <w:basedOn w:val="Absatzstandardschriftart"/>
    <w:link w:val="Kopfzeile"/>
    <w:uiPriority w:val="99"/>
    <w:semiHidden/>
    <w:rsid w:val="0061153F"/>
    <w:rPr>
      <w:rFonts w:ascii="Arial" w:eastAsia="?????? Pro W3" w:hAnsi="Arial"/>
      <w:color w:val="000000"/>
      <w:sz w:val="20"/>
      <w:szCs w:val="20"/>
      <w:lang w:val="en-GB"/>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eichen"/>
    <w:uiPriority w:val="99"/>
    <w:locked/>
    <w:rsid w:val="009518B6"/>
    <w:rPr>
      <w:rFonts w:ascii="Lucida Grande" w:hAnsi="Lucida Grande"/>
      <w:sz w:val="18"/>
      <w:szCs w:val="18"/>
    </w:rPr>
  </w:style>
  <w:style w:type="character" w:customStyle="1" w:styleId="SprechblasentextZeichen">
    <w:name w:val="Sprechblasentext Zeichen"/>
    <w:basedOn w:val="Absatzstandardschriftart"/>
    <w:link w:val="Sprechblasentext"/>
    <w:uiPriority w:val="99"/>
    <w:locked/>
    <w:rsid w:val="009518B6"/>
    <w:rPr>
      <w:rFonts w:ascii="Lucida Grande" w:hAnsi="Lucida Grande" w:cs="Times New Roman"/>
      <w:sz w:val="18"/>
      <w:szCs w:val="18"/>
      <w:lang w:val="en-US" w:eastAsia="en-US"/>
    </w:rPr>
  </w:style>
  <w:style w:type="character" w:styleId="Link">
    <w:name w:val="Hyperlink"/>
    <w:basedOn w:val="Absatzstandardschriftart"/>
    <w:uiPriority w:val="99"/>
    <w:locked/>
    <w:rsid w:val="00012847"/>
    <w:rPr>
      <w:rFonts w:cs="Times New Roman"/>
      <w:color w:val="0000FF"/>
      <w:u w:val="single"/>
    </w:rPr>
  </w:style>
  <w:style w:type="character" w:styleId="GesichteterLink">
    <w:name w:val="FollowedHyperlink"/>
    <w:basedOn w:val="Absatzstandardschriftart"/>
    <w:uiPriority w:val="99"/>
    <w:locked/>
    <w:rsid w:val="00A545C4"/>
    <w:rPr>
      <w:rFonts w:cs="Times New Roman"/>
      <w:color w:val="800080"/>
      <w:u w:val="single"/>
    </w:rPr>
  </w:style>
  <w:style w:type="character" w:styleId="Kommentarzeichen">
    <w:name w:val="annotation reference"/>
    <w:basedOn w:val="Absatzstandardschriftart"/>
    <w:uiPriority w:val="99"/>
    <w:semiHidden/>
    <w:unhideWhenUsed/>
    <w:locked/>
    <w:rsid w:val="00C84CC2"/>
    <w:rPr>
      <w:sz w:val="16"/>
      <w:szCs w:val="16"/>
    </w:rPr>
  </w:style>
  <w:style w:type="paragraph" w:styleId="Kommentartext">
    <w:name w:val="annotation text"/>
    <w:basedOn w:val="Standard"/>
    <w:link w:val="KommentartextZeichen"/>
    <w:uiPriority w:val="99"/>
    <w:semiHidden/>
    <w:unhideWhenUsed/>
    <w:locked/>
    <w:rsid w:val="00C84CC2"/>
  </w:style>
  <w:style w:type="character" w:customStyle="1" w:styleId="KommentartextZeichen">
    <w:name w:val="Kommentartext Zeichen"/>
    <w:basedOn w:val="Absatzstandardschriftart"/>
    <w:link w:val="Kommentartext"/>
    <w:uiPriority w:val="99"/>
    <w:semiHidden/>
    <w:rsid w:val="00C84CC2"/>
    <w:rPr>
      <w:rFonts w:ascii="Arial" w:eastAsia="?????? Pro W3" w:hAnsi="Arial"/>
      <w:color w:val="000000"/>
      <w:sz w:val="20"/>
      <w:szCs w:val="20"/>
      <w:lang w:val="en-GB"/>
    </w:rPr>
  </w:style>
  <w:style w:type="paragraph" w:styleId="Kommentarthema">
    <w:name w:val="annotation subject"/>
    <w:basedOn w:val="Kommentartext"/>
    <w:next w:val="Kommentartext"/>
    <w:link w:val="KommentarthemaZeichen"/>
    <w:uiPriority w:val="99"/>
    <w:semiHidden/>
    <w:unhideWhenUsed/>
    <w:locked/>
    <w:rsid w:val="00C84CC2"/>
    <w:rPr>
      <w:b/>
      <w:bCs/>
    </w:rPr>
  </w:style>
  <w:style w:type="character" w:customStyle="1" w:styleId="KommentarthemaZeichen">
    <w:name w:val="Kommentarthema Zeichen"/>
    <w:basedOn w:val="KommentartextZeichen"/>
    <w:link w:val="Kommentarthema"/>
    <w:uiPriority w:val="99"/>
    <w:semiHidden/>
    <w:rsid w:val="00C84CC2"/>
    <w:rPr>
      <w:rFonts w:ascii="Arial" w:eastAsia="?????? Pro W3" w:hAnsi="Arial"/>
      <w:b/>
      <w:bCs/>
      <w:color w:val="000000"/>
      <w:sz w:val="20"/>
      <w:szCs w:val="20"/>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76">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autoRedefine/>
    <w:uiPriority w:val="99"/>
    <w:rsid w:val="00AD7F55"/>
    <w:pPr>
      <w:tabs>
        <w:tab w:val="center" w:pos="4153"/>
        <w:tab w:val="right" w:pos="8306"/>
      </w:tabs>
    </w:pPr>
  </w:style>
  <w:style w:type="character" w:customStyle="1" w:styleId="KopfzeileZeichen">
    <w:name w:val="Kopfzeile Zeichen"/>
    <w:basedOn w:val="Absatzstandardschriftart"/>
    <w:link w:val="Kopfzeile"/>
    <w:uiPriority w:val="99"/>
    <w:semiHidden/>
    <w:rsid w:val="0061153F"/>
    <w:rPr>
      <w:rFonts w:ascii="Arial" w:eastAsia="?????? Pro W3" w:hAnsi="Arial"/>
      <w:color w:val="000000"/>
      <w:sz w:val="20"/>
      <w:szCs w:val="20"/>
      <w:lang w:val="en-GB"/>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eichen"/>
    <w:uiPriority w:val="99"/>
    <w:locked/>
    <w:rsid w:val="009518B6"/>
    <w:rPr>
      <w:rFonts w:ascii="Lucida Grande" w:hAnsi="Lucida Grande"/>
      <w:sz w:val="18"/>
      <w:szCs w:val="18"/>
    </w:rPr>
  </w:style>
  <w:style w:type="character" w:customStyle="1" w:styleId="SprechblasentextZeichen">
    <w:name w:val="Sprechblasentext Zeichen"/>
    <w:basedOn w:val="Absatzstandardschriftart"/>
    <w:link w:val="Sprechblasentext"/>
    <w:uiPriority w:val="99"/>
    <w:locked/>
    <w:rsid w:val="009518B6"/>
    <w:rPr>
      <w:rFonts w:ascii="Lucida Grande" w:hAnsi="Lucida Grande" w:cs="Times New Roman"/>
      <w:sz w:val="18"/>
      <w:szCs w:val="18"/>
      <w:lang w:val="en-US" w:eastAsia="en-US"/>
    </w:rPr>
  </w:style>
  <w:style w:type="character" w:styleId="Link">
    <w:name w:val="Hyperlink"/>
    <w:basedOn w:val="Absatzstandardschriftart"/>
    <w:uiPriority w:val="99"/>
    <w:locked/>
    <w:rsid w:val="00012847"/>
    <w:rPr>
      <w:rFonts w:cs="Times New Roman"/>
      <w:color w:val="0000FF"/>
      <w:u w:val="single"/>
    </w:rPr>
  </w:style>
  <w:style w:type="character" w:styleId="GesichteterLink">
    <w:name w:val="FollowedHyperlink"/>
    <w:basedOn w:val="Absatzstandardschriftart"/>
    <w:uiPriority w:val="99"/>
    <w:locked/>
    <w:rsid w:val="00A545C4"/>
    <w:rPr>
      <w:rFonts w:cs="Times New Roman"/>
      <w:color w:val="800080"/>
      <w:u w:val="single"/>
    </w:rPr>
  </w:style>
  <w:style w:type="character" w:styleId="Kommentarzeichen">
    <w:name w:val="annotation reference"/>
    <w:basedOn w:val="Absatzstandardschriftart"/>
    <w:uiPriority w:val="99"/>
    <w:semiHidden/>
    <w:unhideWhenUsed/>
    <w:locked/>
    <w:rsid w:val="00C84CC2"/>
    <w:rPr>
      <w:sz w:val="16"/>
      <w:szCs w:val="16"/>
    </w:rPr>
  </w:style>
  <w:style w:type="paragraph" w:styleId="Kommentartext">
    <w:name w:val="annotation text"/>
    <w:basedOn w:val="Standard"/>
    <w:link w:val="KommentartextZeichen"/>
    <w:uiPriority w:val="99"/>
    <w:semiHidden/>
    <w:unhideWhenUsed/>
    <w:locked/>
    <w:rsid w:val="00C84CC2"/>
  </w:style>
  <w:style w:type="character" w:customStyle="1" w:styleId="KommentartextZeichen">
    <w:name w:val="Kommentartext Zeichen"/>
    <w:basedOn w:val="Absatzstandardschriftart"/>
    <w:link w:val="Kommentartext"/>
    <w:uiPriority w:val="99"/>
    <w:semiHidden/>
    <w:rsid w:val="00C84CC2"/>
    <w:rPr>
      <w:rFonts w:ascii="Arial" w:eastAsia="?????? Pro W3" w:hAnsi="Arial"/>
      <w:color w:val="000000"/>
      <w:sz w:val="20"/>
      <w:szCs w:val="20"/>
      <w:lang w:val="en-GB"/>
    </w:rPr>
  </w:style>
  <w:style w:type="paragraph" w:styleId="Kommentarthema">
    <w:name w:val="annotation subject"/>
    <w:basedOn w:val="Kommentartext"/>
    <w:next w:val="Kommentartext"/>
    <w:link w:val="KommentarthemaZeichen"/>
    <w:uiPriority w:val="99"/>
    <w:semiHidden/>
    <w:unhideWhenUsed/>
    <w:locked/>
    <w:rsid w:val="00C84CC2"/>
    <w:rPr>
      <w:b/>
      <w:bCs/>
    </w:rPr>
  </w:style>
  <w:style w:type="character" w:customStyle="1" w:styleId="KommentarthemaZeichen">
    <w:name w:val="Kommentarthema Zeichen"/>
    <w:basedOn w:val="KommentartextZeichen"/>
    <w:link w:val="Kommentarthema"/>
    <w:uiPriority w:val="99"/>
    <w:semiHidden/>
    <w:rsid w:val="00C84CC2"/>
    <w:rPr>
      <w:rFonts w:ascii="Arial" w:eastAsia="?????? Pro W3" w:hAnsi="Arial"/>
      <w:b/>
      <w:bCs/>
      <w:color w:val="000000"/>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F13EFD-E2DA-E84C-A2C0-1D3C0E21F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931</Words>
  <Characters>5867</Characters>
  <Application>Microsoft Macintosh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6785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Thurnes</dc:creator>
  <cp:lastModifiedBy>Andrea Wagner</cp:lastModifiedBy>
  <cp:revision>3</cp:revision>
  <cp:lastPrinted>2014-04-17T06:15:00Z</cp:lastPrinted>
  <dcterms:created xsi:type="dcterms:W3CDTF">2014-04-17T06:28:00Z</dcterms:created>
  <dcterms:modified xsi:type="dcterms:W3CDTF">2014-04-17T07:12:00Z</dcterms:modified>
</cp:coreProperties>
</file>