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3EDA" w:rsidRPr="00564323" w:rsidRDefault="00C90BAD" w:rsidP="00CE3EDA">
      <w:pPr>
        <w:widowControl w:val="0"/>
        <w:spacing w:line="312" w:lineRule="auto"/>
        <w:ind w:right="-1"/>
        <w:rPr>
          <w:bCs/>
          <w:noProof/>
          <w:sz w:val="22"/>
          <w:szCs w:val="22"/>
          <w:lang w:val="de-DE"/>
        </w:rPr>
      </w:pPr>
      <w:r>
        <w:rPr>
          <w:bCs/>
          <w:noProof/>
          <w:sz w:val="22"/>
          <w:szCs w:val="22"/>
          <w:lang w:val="de-DE"/>
        </w:rPr>
        <w:t>Zürich, 18</w:t>
      </w:r>
      <w:r w:rsidR="00CE3EDA">
        <w:rPr>
          <w:bCs/>
          <w:noProof/>
          <w:sz w:val="22"/>
          <w:szCs w:val="22"/>
          <w:lang w:val="de-DE"/>
        </w:rPr>
        <w:t xml:space="preserve">. April 2013 </w:t>
      </w:r>
    </w:p>
    <w:p w:rsidR="00CE3EDA" w:rsidRPr="00564323" w:rsidRDefault="00CE3EDA" w:rsidP="00CE3EDA">
      <w:pPr>
        <w:widowControl w:val="0"/>
        <w:spacing w:line="312" w:lineRule="auto"/>
        <w:ind w:right="-1"/>
        <w:rPr>
          <w:noProof/>
          <w:sz w:val="16"/>
          <w:szCs w:val="16"/>
          <w:lang w:val="de-DE"/>
        </w:rPr>
      </w:pPr>
    </w:p>
    <w:p w:rsidR="00CE3EDA" w:rsidRDefault="00CE3EDA" w:rsidP="00CE3EDA">
      <w:pPr>
        <w:widowControl w:val="0"/>
        <w:overflowPunct/>
        <w:spacing w:line="312" w:lineRule="auto"/>
        <w:ind w:right="425"/>
        <w:textAlignment w:val="auto"/>
        <w:rPr>
          <w:bCs/>
          <w:sz w:val="24"/>
          <w:szCs w:val="28"/>
          <w:lang w:val="de-DE" w:eastAsia="en-GB"/>
        </w:rPr>
      </w:pPr>
      <w:r>
        <w:rPr>
          <w:b/>
          <w:bCs/>
          <w:sz w:val="28"/>
          <w:szCs w:val="28"/>
          <w:lang w:val="de-DE" w:eastAsia="en-GB"/>
        </w:rPr>
        <w:t xml:space="preserve">HR-Manager versagen bei Langzeitzielen </w:t>
      </w:r>
    </w:p>
    <w:p w:rsidR="00CE3EDA" w:rsidRPr="00DE386A" w:rsidRDefault="00CE3EDA" w:rsidP="00CE3EDA">
      <w:pPr>
        <w:widowControl w:val="0"/>
        <w:overflowPunct/>
        <w:spacing w:line="312" w:lineRule="auto"/>
        <w:ind w:right="425"/>
        <w:textAlignment w:val="auto"/>
        <w:rPr>
          <w:bCs/>
          <w:sz w:val="24"/>
          <w:szCs w:val="28"/>
          <w:lang w:val="de-DE" w:eastAsia="en-GB"/>
        </w:rPr>
      </w:pPr>
      <w:r>
        <w:rPr>
          <w:bCs/>
          <w:sz w:val="24"/>
          <w:szCs w:val="28"/>
          <w:lang w:val="de-DE" w:eastAsia="en-GB"/>
        </w:rPr>
        <w:t>Aon Hewitt veröffentlicht Ergebnisse des Europäischen HR-Barometers 2013</w:t>
      </w:r>
    </w:p>
    <w:p w:rsidR="00CE3EDA" w:rsidRPr="00B0176E" w:rsidRDefault="00CE3EDA" w:rsidP="00CE3EDA">
      <w:pPr>
        <w:widowControl w:val="0"/>
        <w:overflowPunct/>
        <w:spacing w:line="312" w:lineRule="auto"/>
        <w:ind w:right="992"/>
        <w:textAlignment w:val="auto"/>
        <w:rPr>
          <w:b/>
          <w:lang w:val="de-DE" w:eastAsia="en-GB"/>
        </w:rPr>
      </w:pPr>
    </w:p>
    <w:p w:rsidR="00CE3EDA" w:rsidRDefault="00CE3EDA" w:rsidP="00CE3EDA">
      <w:pPr>
        <w:widowControl w:val="0"/>
        <w:overflowPunct/>
        <w:spacing w:line="312" w:lineRule="auto"/>
        <w:ind w:right="992"/>
        <w:textAlignment w:val="auto"/>
        <w:rPr>
          <w:b/>
          <w:lang w:val="de-DE" w:eastAsia="en-GB"/>
        </w:rPr>
      </w:pPr>
      <w:r>
        <w:rPr>
          <w:b/>
          <w:lang w:val="de-DE" w:eastAsia="en-GB"/>
        </w:rPr>
        <w:t>Bei langfristigen Themen wie Diversity, Talentmanagement und Mitarbeitereng</w:t>
      </w:r>
      <w:r>
        <w:rPr>
          <w:b/>
          <w:lang w:val="de-DE" w:eastAsia="en-GB"/>
        </w:rPr>
        <w:t>a</w:t>
      </w:r>
      <w:r>
        <w:rPr>
          <w:b/>
          <w:lang w:val="de-DE" w:eastAsia="en-GB"/>
        </w:rPr>
        <w:t>gement weist die Leistung von europäischen Personalabteilungen deutliche Defiz</w:t>
      </w:r>
      <w:r>
        <w:rPr>
          <w:b/>
          <w:lang w:val="de-DE" w:eastAsia="en-GB"/>
        </w:rPr>
        <w:t>i</w:t>
      </w:r>
      <w:r>
        <w:rPr>
          <w:b/>
          <w:lang w:val="de-DE" w:eastAsia="en-GB"/>
        </w:rPr>
        <w:t>te auf. Zu diesem Ergebnis kommt das 8. Europäische HR-Barometer von Aon H</w:t>
      </w:r>
      <w:r>
        <w:rPr>
          <w:b/>
          <w:lang w:val="de-DE" w:eastAsia="en-GB"/>
        </w:rPr>
        <w:t>e</w:t>
      </w:r>
      <w:r>
        <w:rPr>
          <w:b/>
          <w:lang w:val="de-DE" w:eastAsia="en-GB"/>
        </w:rPr>
        <w:t>witt und dem European Club for Human Resources. Das liegt vor allem an ineffe</w:t>
      </w:r>
      <w:r>
        <w:rPr>
          <w:b/>
          <w:lang w:val="de-DE" w:eastAsia="en-GB"/>
        </w:rPr>
        <w:t>k</w:t>
      </w:r>
      <w:r>
        <w:rPr>
          <w:b/>
          <w:lang w:val="de-DE" w:eastAsia="en-GB"/>
        </w:rPr>
        <w:t>tiven KPIs, die der Glaubwürdigkeit der HR-Verantwortlichen im Unternehmen schaden. So schaffen sie es oft nicht, langfristig notwendige Programme im Fü</w:t>
      </w:r>
      <w:r>
        <w:rPr>
          <w:b/>
          <w:lang w:val="de-DE" w:eastAsia="en-GB"/>
        </w:rPr>
        <w:t>h</w:t>
      </w:r>
      <w:r>
        <w:rPr>
          <w:b/>
          <w:lang w:val="de-DE" w:eastAsia="en-GB"/>
        </w:rPr>
        <w:t>rungskräftekreis durchzusetzen. Bei kurzfristigeren Themen wie der Reduzierung der Arbeitskosten, der Verbesserung der Governance sowie der Führungskräft</w:t>
      </w:r>
      <w:r>
        <w:rPr>
          <w:b/>
          <w:lang w:val="de-DE" w:eastAsia="en-GB"/>
        </w:rPr>
        <w:t>e</w:t>
      </w:r>
      <w:r>
        <w:rPr>
          <w:b/>
          <w:lang w:val="de-DE" w:eastAsia="en-GB"/>
        </w:rPr>
        <w:t xml:space="preserve">entlohnung sind HR-Manager deutlich erfolgreicher. „Doch das reicht nicht, um die Weichen in Europa wieder nachhaltig auf Wachstum zu stellen“, so </w:t>
      </w:r>
      <w:r w:rsidRPr="00596F23">
        <w:rPr>
          <w:b/>
          <w:bCs/>
          <w:iCs/>
          <w:lang w:val="de-DE"/>
        </w:rPr>
        <w:t>Dr. Wolf-Bertram von Bismarck, Leiter des Bereichs Talent in EMEA bei Aon Hewitt</w:t>
      </w:r>
      <w:r>
        <w:rPr>
          <w:b/>
          <w:bCs/>
          <w:iCs/>
          <w:lang w:val="de-DE"/>
        </w:rPr>
        <w:t>. „Unte</w:t>
      </w:r>
      <w:r>
        <w:rPr>
          <w:b/>
          <w:bCs/>
          <w:iCs/>
          <w:lang w:val="de-DE"/>
        </w:rPr>
        <w:t>r</w:t>
      </w:r>
      <w:r>
        <w:rPr>
          <w:b/>
          <w:bCs/>
          <w:iCs/>
          <w:lang w:val="de-DE"/>
        </w:rPr>
        <w:t>nehmen müssen aktiv in ihre Prozesse, ihre Mitarbeiter und deren Fähigkeiten i</w:t>
      </w:r>
      <w:r>
        <w:rPr>
          <w:b/>
          <w:bCs/>
          <w:iCs/>
          <w:lang w:val="de-DE"/>
        </w:rPr>
        <w:t>n</w:t>
      </w:r>
      <w:r>
        <w:rPr>
          <w:b/>
          <w:bCs/>
          <w:iCs/>
          <w:lang w:val="de-DE"/>
        </w:rPr>
        <w:t>vestieren.“ So sei es erfreulich, dass 64 Prozent der Unternehmen das Engagement ihrer Mitarbeiter messen, immerhin 24 Prozent mehr als 2012. Allerdings kümmert sich laut der Untersuchung nur knapp ein Drittel dann tatsächlich um die Umse</w:t>
      </w:r>
      <w:r>
        <w:rPr>
          <w:b/>
          <w:bCs/>
          <w:iCs/>
          <w:lang w:val="de-DE"/>
        </w:rPr>
        <w:t>t</w:t>
      </w:r>
      <w:r>
        <w:rPr>
          <w:b/>
          <w:bCs/>
          <w:iCs/>
          <w:lang w:val="de-DE"/>
        </w:rPr>
        <w:t>zung entsprechender HR-Massnahmen oder wiederholt die Erhebung zur Mas</w:t>
      </w:r>
      <w:r>
        <w:rPr>
          <w:b/>
          <w:bCs/>
          <w:iCs/>
          <w:lang w:val="de-DE"/>
        </w:rPr>
        <w:t>s</w:t>
      </w:r>
      <w:r>
        <w:rPr>
          <w:b/>
          <w:bCs/>
          <w:iCs/>
          <w:lang w:val="de-DE"/>
        </w:rPr>
        <w:t>nahmenkontrolle.</w:t>
      </w:r>
    </w:p>
    <w:p w:rsidR="00CE3EDA" w:rsidRDefault="00CE3EDA" w:rsidP="00CE3EDA">
      <w:pPr>
        <w:widowControl w:val="0"/>
        <w:overflowPunct/>
        <w:spacing w:line="312" w:lineRule="auto"/>
        <w:ind w:right="992"/>
        <w:textAlignment w:val="auto"/>
        <w:rPr>
          <w:b/>
          <w:lang w:val="de-DE" w:eastAsia="en-GB"/>
        </w:rPr>
      </w:pPr>
    </w:p>
    <w:p w:rsidR="00CE3EDA" w:rsidRDefault="00CE3EDA" w:rsidP="00CE3EDA">
      <w:pPr>
        <w:widowControl w:val="0"/>
        <w:overflowPunct/>
        <w:spacing w:line="312" w:lineRule="auto"/>
        <w:ind w:right="1417"/>
        <w:textAlignment w:val="auto"/>
        <w:rPr>
          <w:lang w:val="de-DE"/>
        </w:rPr>
      </w:pPr>
      <w:r>
        <w:rPr>
          <w:lang w:val="de-DE"/>
        </w:rPr>
        <w:t>„Die Unternehmen vertun damit wertvolles Potenzial“, urteilt von Bismarck. „Einmal</w:t>
      </w:r>
      <w:r>
        <w:rPr>
          <w:lang w:val="de-DE"/>
        </w:rPr>
        <w:t>i</w:t>
      </w:r>
      <w:r>
        <w:rPr>
          <w:lang w:val="de-DE"/>
        </w:rPr>
        <w:t>ge Messungen bewirken nichts, wenn ihnen nicht die nächsten Schritte folgen.“ Die Unternehmen müssten dafür sorgen, dass ihren Personalabteilungen ausreichend Mittel und Ressourcen zur Verfügung stehen, um hier nachhaltig zu arbeiten. „Eng</w:t>
      </w:r>
      <w:r>
        <w:rPr>
          <w:lang w:val="de-DE"/>
        </w:rPr>
        <w:t>a</w:t>
      </w:r>
      <w:r>
        <w:rPr>
          <w:lang w:val="de-DE"/>
        </w:rPr>
        <w:t>gierte Mitarbeiter leisten mehr und geben den entscheidenden Ausschlag für den Unternehmenserfolg. Laut unserer Untersuchung ist das den Verantwortlichen durchaus bewusst. Jetzt müssen sie nur noch handeln.“</w:t>
      </w:r>
    </w:p>
    <w:p w:rsidR="00CE3EDA" w:rsidRDefault="00CE3EDA" w:rsidP="00CE3EDA">
      <w:pPr>
        <w:widowControl w:val="0"/>
        <w:overflowPunct/>
        <w:spacing w:line="312" w:lineRule="auto"/>
        <w:ind w:right="1417"/>
        <w:textAlignment w:val="auto"/>
        <w:rPr>
          <w:lang w:val="de-DE"/>
        </w:rPr>
      </w:pPr>
    </w:p>
    <w:p w:rsidR="006463D4" w:rsidRDefault="006463D4" w:rsidP="006463D4">
      <w:pPr>
        <w:widowControl w:val="0"/>
        <w:overflowPunct/>
        <w:spacing w:line="312" w:lineRule="auto"/>
        <w:ind w:right="1417"/>
        <w:textAlignment w:val="auto"/>
        <w:rPr>
          <w:lang w:val="de-DE"/>
        </w:rPr>
      </w:pPr>
      <w:r w:rsidRPr="00ED6ACE">
        <w:rPr>
          <w:b/>
          <w:lang w:val="de-DE"/>
        </w:rPr>
        <w:t>Vergütung und Benefits nur Nebensache?</w:t>
      </w:r>
      <w:r w:rsidRPr="00ED6ACE">
        <w:rPr>
          <w:lang w:val="de-DE"/>
        </w:rPr>
        <w:br/>
        <w:t>Das HR-Barometer zeigt, dass Unternehmen weiterhin grosse Schwierigkeiten h</w:t>
      </w:r>
      <w:r w:rsidRPr="00ED6ACE">
        <w:rPr>
          <w:lang w:val="de-DE"/>
        </w:rPr>
        <w:t>a</w:t>
      </w:r>
      <w:r w:rsidRPr="00ED6ACE">
        <w:rPr>
          <w:lang w:val="de-DE"/>
        </w:rPr>
        <w:t>ben, ihre Entlohnungssysteme effektiv und effizient zu gestalten. So gibt es be</w:t>
      </w:r>
      <w:r w:rsidRPr="00ED6ACE">
        <w:rPr>
          <w:lang w:val="de-DE"/>
        </w:rPr>
        <w:t>i</w:t>
      </w:r>
      <w:r w:rsidRPr="00ED6ACE">
        <w:rPr>
          <w:lang w:val="de-DE"/>
        </w:rPr>
        <w:t>spielsweise Probleme im länderübergreifenden Management von Benefits . Gründe sind unter anderem Hindernisse bei der Informationsbeschaffung zu den lokalen Pläne, fehlende Governance-Prozesse aber auch mangelnde Unterstützung durch die lokalen Verantwortlichen. „Das spiegelt die Gesamtsituation deutlich wider – die Effekte einer optimierten Gestaltung der Gesamtvergütung werden von den  Pers</w:t>
      </w:r>
      <w:r w:rsidRPr="00ED6ACE">
        <w:rPr>
          <w:lang w:val="de-DE"/>
        </w:rPr>
        <w:t>o</w:t>
      </w:r>
      <w:r w:rsidRPr="00ED6ACE">
        <w:rPr>
          <w:lang w:val="de-DE"/>
        </w:rPr>
        <w:t>nalverantwortlichen immer noch unterschätzt“</w:t>
      </w:r>
      <w:r w:rsidRPr="00ED6ACE" w:rsidDel="00DF3AE3">
        <w:rPr>
          <w:lang w:val="de-DE"/>
        </w:rPr>
        <w:t>, so von Bismarck.</w:t>
      </w:r>
      <w:r w:rsidRPr="00ED6ACE">
        <w:rPr>
          <w:lang w:val="de-DE"/>
        </w:rPr>
        <w:t xml:space="preserve"> „In Zeiten begren</w:t>
      </w:r>
      <w:r w:rsidRPr="00ED6ACE">
        <w:rPr>
          <w:lang w:val="de-DE"/>
        </w:rPr>
        <w:t>z</w:t>
      </w:r>
      <w:r w:rsidRPr="00ED6ACE">
        <w:rPr>
          <w:lang w:val="de-DE"/>
        </w:rPr>
        <w:t>ter Gehaltsbudgets für viele Arbeitnehmer in Europa halte ich das für eine sehr b</w:t>
      </w:r>
      <w:r w:rsidRPr="00ED6ACE">
        <w:rPr>
          <w:lang w:val="de-DE"/>
        </w:rPr>
        <w:t>e</w:t>
      </w:r>
      <w:r w:rsidRPr="00ED6ACE">
        <w:rPr>
          <w:lang w:val="de-DE"/>
        </w:rPr>
        <w:t>denkliche Entwicklung. Eine optimierte Gestaltung ist bei finanziell begrenzten Mö</w:t>
      </w:r>
      <w:r w:rsidRPr="00ED6ACE">
        <w:rPr>
          <w:lang w:val="de-DE"/>
        </w:rPr>
        <w:t>g</w:t>
      </w:r>
      <w:r w:rsidRPr="00ED6ACE">
        <w:rPr>
          <w:lang w:val="de-DE"/>
        </w:rPr>
        <w:t>lichkeiten umso wichtiger, ‚one-size-fits-all’ reicht nicht mehr aus. Die heutige Gen</w:t>
      </w:r>
      <w:r w:rsidRPr="00ED6ACE">
        <w:rPr>
          <w:lang w:val="de-DE"/>
        </w:rPr>
        <w:t>e</w:t>
      </w:r>
      <w:r w:rsidRPr="00ED6ACE">
        <w:rPr>
          <w:lang w:val="de-DE"/>
        </w:rPr>
        <w:t>ration von Talenten und leistungsstarken Mitarbeitern erwartet individualisierte Pak</w:t>
      </w:r>
      <w:r w:rsidRPr="00ED6ACE">
        <w:rPr>
          <w:lang w:val="de-DE"/>
        </w:rPr>
        <w:t>e</w:t>
      </w:r>
      <w:r w:rsidRPr="00ED6ACE">
        <w:rPr>
          <w:lang w:val="de-DE"/>
        </w:rPr>
        <w:t>te aus monetären und nichtmonetären Leistungen.“ Laut von Bismarck sollten sich die Unternehmen zudem gezielt damit auseinandersetzen, was ihre Mitarbeiter ta</w:t>
      </w:r>
      <w:r w:rsidRPr="00ED6ACE">
        <w:rPr>
          <w:lang w:val="de-DE"/>
        </w:rPr>
        <w:t>t</w:t>
      </w:r>
      <w:r w:rsidRPr="00ED6ACE">
        <w:rPr>
          <w:lang w:val="de-DE"/>
        </w:rPr>
        <w:t>sächlich erwarten und wertschätzen, um die Angebote nicht an den Arbeitnehmern vorbeizuoptimieren.</w:t>
      </w:r>
    </w:p>
    <w:p w:rsidR="00CE3EDA" w:rsidRDefault="00CE3EDA" w:rsidP="00CE3EDA">
      <w:pPr>
        <w:widowControl w:val="0"/>
        <w:overflowPunct/>
        <w:spacing w:line="312" w:lineRule="auto"/>
        <w:ind w:right="1417"/>
        <w:textAlignment w:val="auto"/>
        <w:rPr>
          <w:lang w:val="de-DE"/>
        </w:rPr>
      </w:pPr>
    </w:p>
    <w:p w:rsidR="00CE3EDA" w:rsidRPr="0091696B" w:rsidRDefault="00CE3EDA" w:rsidP="00CE3EDA">
      <w:pPr>
        <w:widowControl w:val="0"/>
        <w:overflowPunct/>
        <w:spacing w:line="312" w:lineRule="auto"/>
        <w:ind w:right="1417"/>
        <w:textAlignment w:val="auto"/>
        <w:rPr>
          <w:b/>
          <w:lang w:val="en-US"/>
        </w:rPr>
      </w:pPr>
      <w:r w:rsidRPr="0091696B">
        <w:rPr>
          <w:b/>
          <w:lang w:val="en-US"/>
        </w:rPr>
        <w:t>Diversity und Social Responsibility dienen eher Marketingzwecken</w:t>
      </w:r>
    </w:p>
    <w:p w:rsidR="00CE3EDA" w:rsidRDefault="00CE3EDA" w:rsidP="00CE3EDA">
      <w:pPr>
        <w:widowControl w:val="0"/>
        <w:overflowPunct/>
        <w:spacing w:line="312" w:lineRule="auto"/>
        <w:ind w:right="1417"/>
        <w:textAlignment w:val="auto"/>
        <w:rPr>
          <w:lang w:val="de-DE"/>
        </w:rPr>
      </w:pPr>
      <w:r>
        <w:rPr>
          <w:lang w:val="de-DE"/>
        </w:rPr>
        <w:t>Mit den Themen Diversity &amp; Inclusion (D&amp;I) sowie Corporate Social Responsibility (CSR) scheinen es die europäischen HR-Verantwortlichen nicht sonderlich ernst zu nehmen. Zwar erkennen 57 Prozent D&amp;I als strategisches Thema an, für 43 Prozent gehört es sogar zu den obersten Prioritäten. Allerdings verfügt nicht einmal die Häl</w:t>
      </w:r>
      <w:r>
        <w:rPr>
          <w:lang w:val="de-DE"/>
        </w:rPr>
        <w:t>f</w:t>
      </w:r>
      <w:r>
        <w:rPr>
          <w:lang w:val="de-DE"/>
        </w:rPr>
        <w:t>te über ein Diversity-Programm, nur gut 40 Prozent sehen die Notwendigkeit, eines aufzusetzen. Insgesamt gibt es zum Thema nur sehr wenig Aktivitäten in den Unte</w:t>
      </w:r>
      <w:r>
        <w:rPr>
          <w:lang w:val="de-DE"/>
        </w:rPr>
        <w:t>r</w:t>
      </w:r>
      <w:r>
        <w:rPr>
          <w:lang w:val="de-DE"/>
        </w:rPr>
        <w:t>nehmen. „Das legt den Schluss nahe, dass D&amp;I eher dazu eingespannt werden, der Arbeitgebermarke ein positives Image zu verleihen. Als echte Chance im Talentm</w:t>
      </w:r>
      <w:r>
        <w:rPr>
          <w:lang w:val="de-DE"/>
        </w:rPr>
        <w:t>a</w:t>
      </w:r>
      <w:r>
        <w:rPr>
          <w:lang w:val="de-DE"/>
        </w:rPr>
        <w:t xml:space="preserve">nagement werden sie nicht wahrgenommen“, meint von Bismarck. „Gleiches gilt für CSR.“ Auch hier gibt es laut der Studienergebnisse kaum messbare Aktivitäten. „Altruismus oder echte Werte sind oft leider nicht die Treiber, im Vordergrund steht das Image, das Unternehmen sich damit aufbauen möchten.“   </w:t>
      </w:r>
    </w:p>
    <w:p w:rsidR="00CE3EDA" w:rsidRDefault="00CE3EDA" w:rsidP="00CE3EDA">
      <w:pPr>
        <w:widowControl w:val="0"/>
        <w:overflowPunct/>
        <w:spacing w:line="312" w:lineRule="auto"/>
        <w:ind w:right="1417"/>
        <w:textAlignment w:val="auto"/>
        <w:rPr>
          <w:lang w:val="de-DE"/>
        </w:rPr>
      </w:pPr>
    </w:p>
    <w:p w:rsidR="00CE3EDA" w:rsidRPr="00CF2E9B" w:rsidRDefault="00CE3EDA" w:rsidP="00CE3EDA">
      <w:pPr>
        <w:widowControl w:val="0"/>
        <w:overflowPunct/>
        <w:spacing w:line="312" w:lineRule="auto"/>
        <w:ind w:right="1417"/>
        <w:textAlignment w:val="auto"/>
        <w:rPr>
          <w:b/>
          <w:lang w:val="de-DE"/>
        </w:rPr>
      </w:pPr>
      <w:r w:rsidRPr="00CF2E9B">
        <w:rPr>
          <w:b/>
          <w:lang w:val="de-DE"/>
        </w:rPr>
        <w:t>Prioritäten und Bedürfnisse der HR-Abteilungen</w:t>
      </w:r>
    </w:p>
    <w:p w:rsidR="00CE3EDA" w:rsidRDefault="00CE3EDA" w:rsidP="00CE3EDA">
      <w:pPr>
        <w:widowControl w:val="0"/>
        <w:overflowPunct/>
        <w:spacing w:line="312" w:lineRule="auto"/>
        <w:ind w:right="1417"/>
        <w:textAlignment w:val="auto"/>
        <w:rPr>
          <w:lang w:val="de-DE"/>
        </w:rPr>
      </w:pPr>
      <w:r>
        <w:rPr>
          <w:lang w:val="de-DE"/>
        </w:rPr>
        <w:t>Trotz der Vernachlässigung von D&amp;I führt das Talentmanagement die Liste der lan</w:t>
      </w:r>
      <w:r>
        <w:rPr>
          <w:lang w:val="de-DE"/>
        </w:rPr>
        <w:t>g</w:t>
      </w:r>
      <w:r>
        <w:rPr>
          <w:lang w:val="de-DE"/>
        </w:rPr>
        <w:t>fristigen Prioritäten an, dicht gefolgt von der Führungskräfteentwicklung. Zweitrang</w:t>
      </w:r>
      <w:r>
        <w:rPr>
          <w:lang w:val="de-DE"/>
        </w:rPr>
        <w:t>i</w:t>
      </w:r>
      <w:r>
        <w:rPr>
          <w:lang w:val="de-DE"/>
        </w:rPr>
        <w:t>ge Themen sind Nachfolge- und Personalplanung sowie die Verbesserung der Le</w:t>
      </w:r>
      <w:r>
        <w:rPr>
          <w:lang w:val="de-DE"/>
        </w:rPr>
        <w:t>i</w:t>
      </w:r>
      <w:r>
        <w:rPr>
          <w:lang w:val="de-DE"/>
        </w:rPr>
        <w:t xml:space="preserve">stung der HR-Abteilungen. Im Ranking der Faktoren, die sich HR-Verantwortliche zur Verbesserung ihrer Arbeit wünschen, sind vor allem sinnvolle HR-Metriken und KPIs, integrierte IT-Systeme sowie mehr Glaubwürdigkeit gegenüber den anderen Geschäftsbereichen zu finden. Zumindest aber sehen sich die Personalmanager mit der Transformation ihrer HR-Abteilungen auf dem Weg hin zu einer strategischeren Rolle im Unternehmen. Hier geben sie sich selbst durchweg gute Noten, ganz im Gegensatz zum </w:t>
      </w:r>
      <w:r w:rsidRPr="00B60F1C">
        <w:rPr>
          <w:lang w:val="de-DE"/>
        </w:rPr>
        <w:t>operativen Geschäft</w:t>
      </w:r>
      <w:r>
        <w:rPr>
          <w:lang w:val="de-DE"/>
        </w:rPr>
        <w:t>. In diesem Bereich schätzen sich die Veran</w:t>
      </w:r>
      <w:r>
        <w:rPr>
          <w:lang w:val="de-DE"/>
        </w:rPr>
        <w:t>t</w:t>
      </w:r>
      <w:r>
        <w:rPr>
          <w:lang w:val="de-DE"/>
        </w:rPr>
        <w:t>wortlichen deutlich schlechter ein als in der Vergangenheit. „Viele europäische HR-Manager befinden sich de facto in einem Teufelskreis“, erläutert von Bismarck. „Mangelhafte IT-Systeme und Prozesse führen zu mangelhaften KPIs. In Kombinat</w:t>
      </w:r>
      <w:r>
        <w:rPr>
          <w:lang w:val="de-DE"/>
        </w:rPr>
        <w:t>i</w:t>
      </w:r>
      <w:r>
        <w:rPr>
          <w:lang w:val="de-DE"/>
        </w:rPr>
        <w:t>on mit operativen Schwächen untergräbt dies die Glaubwürdigkeit der Verantwortl</w:t>
      </w:r>
      <w:r>
        <w:rPr>
          <w:lang w:val="de-DE"/>
        </w:rPr>
        <w:t>i</w:t>
      </w:r>
      <w:r>
        <w:rPr>
          <w:lang w:val="de-DE"/>
        </w:rPr>
        <w:t>chen und damit die Fähigkeit, langfristige strategische Themen durchzusetzen. Und das wiederum erweckt schnell den Anschein, als wären sie auch mit HR-strategischen Themen überfordert.“</w:t>
      </w:r>
    </w:p>
    <w:p w:rsidR="00CE3EDA" w:rsidRPr="00596F23" w:rsidRDefault="00CE3EDA" w:rsidP="00CE3EDA">
      <w:pPr>
        <w:widowControl w:val="0"/>
        <w:overflowPunct/>
        <w:spacing w:line="312" w:lineRule="auto"/>
        <w:ind w:right="1417"/>
        <w:textAlignment w:val="auto"/>
        <w:rPr>
          <w:lang w:val="de-DE"/>
        </w:rPr>
      </w:pPr>
      <w:r>
        <w:rPr>
          <w:lang w:val="de-DE"/>
        </w:rPr>
        <w:t xml:space="preserve"> </w:t>
      </w:r>
    </w:p>
    <w:p w:rsidR="00CE3EDA" w:rsidRPr="002B23D1" w:rsidRDefault="00CE3EDA" w:rsidP="00CE3EDA">
      <w:pPr>
        <w:widowControl w:val="0"/>
        <w:overflowPunct/>
        <w:spacing w:line="312" w:lineRule="auto"/>
        <w:ind w:right="-992"/>
        <w:textAlignment w:val="auto"/>
        <w:rPr>
          <w:b/>
          <w:lang w:val="de-DE"/>
        </w:rPr>
      </w:pPr>
      <w:r>
        <w:rPr>
          <w:b/>
          <w:lang w:val="de-DE"/>
        </w:rPr>
        <w:t>Über die Studie</w:t>
      </w:r>
      <w:r w:rsidRPr="002B23D1">
        <w:rPr>
          <w:b/>
          <w:lang w:val="de-DE"/>
        </w:rPr>
        <w:t xml:space="preserve"> </w:t>
      </w:r>
    </w:p>
    <w:p w:rsidR="00BE36B4" w:rsidRDefault="00CE3EDA" w:rsidP="00BE36B4">
      <w:pPr>
        <w:widowControl w:val="0"/>
        <w:overflowPunct/>
        <w:spacing w:line="312" w:lineRule="auto"/>
        <w:ind w:right="1417"/>
        <w:textAlignment w:val="auto"/>
        <w:rPr>
          <w:lang w:val="de-DE"/>
        </w:rPr>
      </w:pPr>
      <w:r w:rsidRPr="002B23D1">
        <w:rPr>
          <w:lang w:val="de-DE"/>
        </w:rPr>
        <w:t>Die Studienergebnisse des HR-Barometers weisen</w:t>
      </w:r>
      <w:r>
        <w:rPr>
          <w:lang w:val="de-DE"/>
        </w:rPr>
        <w:t xml:space="preserve"> seit 2006</w:t>
      </w:r>
      <w:r w:rsidRPr="002B23D1">
        <w:rPr>
          <w:lang w:val="de-DE"/>
        </w:rPr>
        <w:t xml:space="preserve"> jährlich Schlüsselth</w:t>
      </w:r>
      <w:r w:rsidRPr="002B23D1">
        <w:rPr>
          <w:lang w:val="de-DE"/>
        </w:rPr>
        <w:t>e</w:t>
      </w:r>
      <w:r w:rsidRPr="002B23D1">
        <w:rPr>
          <w:lang w:val="de-DE"/>
        </w:rPr>
        <w:t>men und Trends der künftigen HR-Arbeit im gesamten europäischen Raum aus u</w:t>
      </w:r>
      <w:r>
        <w:rPr>
          <w:lang w:val="de-DE"/>
        </w:rPr>
        <w:t>nd liefern umfassende Benchmark-D</w:t>
      </w:r>
      <w:r w:rsidRPr="002B23D1">
        <w:rPr>
          <w:lang w:val="de-DE"/>
        </w:rPr>
        <w:t>aten. Die Studie zielt darauf ab, Prioritäten und Entwicklungen zu benennen, die es Unternehmen in Europa ermöglichen, die</w:t>
      </w:r>
      <w:r>
        <w:rPr>
          <w:lang w:val="de-DE"/>
        </w:rPr>
        <w:t xml:space="preserve"> b</w:t>
      </w:r>
      <w:r>
        <w:rPr>
          <w:lang w:val="de-DE"/>
        </w:rPr>
        <w:t>e</w:t>
      </w:r>
      <w:r>
        <w:rPr>
          <w:lang w:val="de-DE"/>
        </w:rPr>
        <w:t>triebliche</w:t>
      </w:r>
      <w:r w:rsidRPr="002B23D1">
        <w:rPr>
          <w:lang w:val="de-DE"/>
        </w:rPr>
        <w:t xml:space="preserve"> Leistungsfähigkeit zu steigern.</w:t>
      </w:r>
      <w:r>
        <w:rPr>
          <w:lang w:val="de-DE"/>
        </w:rPr>
        <w:t xml:space="preserve"> Teilnehmer waren HR-Verantwortliche von 44 führenden Unternehmen – davon 70 Prozent börsennotiert – aus </w:t>
      </w:r>
      <w:r w:rsidRPr="00915FCF">
        <w:rPr>
          <w:lang w:val="de-DE"/>
        </w:rPr>
        <w:t>13</w:t>
      </w:r>
      <w:r>
        <w:rPr>
          <w:lang w:val="de-DE"/>
        </w:rPr>
        <w:t xml:space="preserve"> verschied</w:t>
      </w:r>
      <w:r>
        <w:rPr>
          <w:lang w:val="de-DE"/>
        </w:rPr>
        <w:t>e</w:t>
      </w:r>
      <w:r>
        <w:rPr>
          <w:lang w:val="de-DE"/>
        </w:rPr>
        <w:t xml:space="preserve">nen Ländern. Insgesamt beschäftigen diese </w:t>
      </w:r>
      <w:r w:rsidRPr="00915FCF">
        <w:rPr>
          <w:lang w:val="de-DE"/>
        </w:rPr>
        <w:t>2,</w:t>
      </w:r>
      <w:r>
        <w:rPr>
          <w:lang w:val="de-DE"/>
        </w:rPr>
        <w:t xml:space="preserve">3 Millionen Menschen und generieren Umsätze von über 480 Milliarden Euro. Weitere Informationen zur Studie gibt es auf Anfrage an </w:t>
      </w:r>
      <w:hyperlink r:id="rId5" w:history="1">
        <w:r w:rsidR="00BE36B4" w:rsidRPr="007270BF">
          <w:rPr>
            <w:rStyle w:val="Link"/>
            <w:rFonts w:cs="Arial"/>
            <w:lang w:val="de-DE"/>
          </w:rPr>
          <w:t>pressegermany@aonhewitt.com</w:t>
        </w:r>
      </w:hyperlink>
      <w:r>
        <w:rPr>
          <w:lang w:val="de-DE"/>
        </w:rPr>
        <w:t>.</w:t>
      </w:r>
    </w:p>
    <w:p w:rsidR="00BE36B4" w:rsidRDefault="00BE36B4" w:rsidP="00BE36B4">
      <w:pPr>
        <w:widowControl w:val="0"/>
        <w:overflowPunct/>
        <w:spacing w:line="312" w:lineRule="auto"/>
        <w:ind w:right="1417"/>
        <w:textAlignment w:val="auto"/>
        <w:rPr>
          <w:lang w:val="de-DE"/>
        </w:rPr>
      </w:pPr>
    </w:p>
    <w:p w:rsidR="00BE36B4" w:rsidRDefault="00BE36B4" w:rsidP="00BE36B4">
      <w:pPr>
        <w:widowControl w:val="0"/>
        <w:overflowPunct/>
        <w:spacing w:line="312" w:lineRule="auto"/>
        <w:ind w:right="1417"/>
        <w:textAlignment w:val="auto"/>
        <w:rPr>
          <w:lang w:val="de-DE"/>
        </w:rPr>
      </w:pPr>
      <w:r w:rsidRPr="00BE36B4">
        <w:rPr>
          <w:b/>
          <w:lang w:val="de-DE"/>
        </w:rPr>
        <w:t xml:space="preserve">Über den European Club for human resources (EChr) </w:t>
      </w:r>
    </w:p>
    <w:p w:rsidR="00BE36B4" w:rsidRPr="00BE36B4" w:rsidRDefault="00BE36B4" w:rsidP="00BE36B4">
      <w:pPr>
        <w:widowControl w:val="0"/>
        <w:overflowPunct/>
        <w:spacing w:line="312" w:lineRule="auto"/>
        <w:ind w:right="1417"/>
        <w:textAlignment w:val="auto"/>
        <w:rPr>
          <w:lang w:val="de-DE"/>
        </w:rPr>
      </w:pPr>
      <w:r w:rsidRPr="00BE36B4">
        <w:rPr>
          <w:lang w:val="de-DE"/>
        </w:rPr>
        <w:t>Gegründet wurde der Club im Jahr 2001 durch Senior Executives von Weltunte</w:t>
      </w:r>
      <w:r w:rsidRPr="00BE36B4">
        <w:rPr>
          <w:lang w:val="de-DE"/>
        </w:rPr>
        <w:t>r</w:t>
      </w:r>
      <w:r w:rsidRPr="00BE36B4">
        <w:rPr>
          <w:lang w:val="de-DE"/>
        </w:rPr>
        <w:t>nehmen mit Hauptsitz in Europa, die in ihrem Wirtschaftszweig Marktführer sind. Der Club hat es sich zum Ziel gesetzt, den Erfahrungsaustausch und Diskussionen über Fragestellungen im Bereich Human Resources anzuregen. Mit seinen Studien, A</w:t>
      </w:r>
      <w:r w:rsidRPr="00BE36B4">
        <w:rPr>
          <w:lang w:val="de-DE"/>
        </w:rPr>
        <w:t>r</w:t>
      </w:r>
      <w:r w:rsidRPr="00BE36B4">
        <w:rPr>
          <w:lang w:val="de-DE"/>
        </w:rPr>
        <w:t>beitsgruppen und Seminaren leistet der Club einen Beitrag zugunsten eines eur</w:t>
      </w:r>
      <w:r w:rsidRPr="00BE36B4">
        <w:rPr>
          <w:lang w:val="de-DE"/>
        </w:rPr>
        <w:t>o</w:t>
      </w:r>
      <w:r w:rsidRPr="00BE36B4">
        <w:rPr>
          <w:lang w:val="de-DE"/>
        </w:rPr>
        <w:t xml:space="preserve">päischen Ansatzes im HR-Management </w:t>
      </w:r>
      <w:bookmarkStart w:id="0" w:name="_Hlt46236921"/>
      <w:bookmarkEnd w:id="0"/>
      <w:r w:rsidRPr="00BE36B4">
        <w:rPr>
          <w:lang w:val="de-DE"/>
        </w:rPr>
        <w:t xml:space="preserve">und zur Unterstützung der strategischen Tätigkeit von HR-Leitern im Veränderungsmanagement. Weitere Informationen gibt es unter </w:t>
      </w:r>
      <w:hyperlink r:id="rId6" w:tooltip="blocked::http://www.europeanclub-hr.eu/" w:history="1">
        <w:r w:rsidRPr="00BE36B4">
          <w:rPr>
            <w:lang w:val="de-DE"/>
          </w:rPr>
          <w:t>http://www.europeanclub-hr.eu/</w:t>
        </w:r>
      </w:hyperlink>
    </w:p>
    <w:p w:rsidR="00BE36B4" w:rsidRDefault="00BE36B4" w:rsidP="00CE3EDA">
      <w:pPr>
        <w:widowControl w:val="0"/>
        <w:overflowPunct/>
        <w:spacing w:line="312" w:lineRule="auto"/>
        <w:ind w:right="1417"/>
        <w:textAlignment w:val="auto"/>
        <w:rPr>
          <w:lang w:val="de-DE"/>
        </w:rPr>
      </w:pPr>
    </w:p>
    <w:tbl>
      <w:tblPr>
        <w:tblW w:w="9142" w:type="dxa"/>
        <w:tblCellMar>
          <w:left w:w="70" w:type="dxa"/>
          <w:right w:w="70" w:type="dxa"/>
        </w:tblCellMar>
        <w:tblLook w:val="0000"/>
      </w:tblPr>
      <w:tblGrid>
        <w:gridCol w:w="4606"/>
        <w:gridCol w:w="4536"/>
      </w:tblGrid>
      <w:tr w:rsidR="00BE36B4" w:rsidRPr="00D63D22">
        <w:trPr>
          <w:trHeight w:val="1064"/>
        </w:trPr>
        <w:tc>
          <w:tcPr>
            <w:tcW w:w="4606" w:type="dxa"/>
          </w:tcPr>
          <w:p w:rsidR="00BE36B4" w:rsidRPr="00FD2298" w:rsidRDefault="00BE36B4" w:rsidP="00D6382E">
            <w:pPr>
              <w:ind w:right="72"/>
              <w:rPr>
                <w:sz w:val="16"/>
                <w:lang w:val="de-DE"/>
              </w:rPr>
            </w:pPr>
            <w:r w:rsidRPr="00FD2298">
              <w:rPr>
                <w:b/>
                <w:sz w:val="16"/>
                <w:lang w:val="de-DE"/>
              </w:rPr>
              <w:t>Kontakt:</w:t>
            </w:r>
            <w:r w:rsidRPr="00FD2298">
              <w:rPr>
                <w:sz w:val="16"/>
                <w:lang w:val="de-DE"/>
              </w:rPr>
              <w:br/>
              <w:t xml:space="preserve">Aon </w:t>
            </w:r>
            <w:r w:rsidRPr="00FD2298">
              <w:rPr>
                <w:noProof/>
                <w:sz w:val="16"/>
                <w:szCs w:val="18"/>
                <w:lang w:val="de-CH"/>
              </w:rPr>
              <w:t>Hewitt (Switzerland) AG – Paola Bregolisse</w:t>
            </w:r>
          </w:p>
          <w:p w:rsidR="00BE36B4" w:rsidRPr="00FD2298" w:rsidRDefault="00BE36B4" w:rsidP="00D6382E">
            <w:pPr>
              <w:ind w:right="74"/>
              <w:rPr>
                <w:sz w:val="16"/>
                <w:lang w:val="de-DE"/>
              </w:rPr>
            </w:pPr>
            <w:r w:rsidRPr="00FD2298">
              <w:rPr>
                <w:noProof/>
                <w:sz w:val="16"/>
                <w:szCs w:val="18"/>
                <w:lang w:val="de-CH"/>
              </w:rPr>
              <w:t>Lagerstrasse 33 – 8021 Zürich</w:t>
            </w:r>
            <w:r w:rsidRPr="00FD2298">
              <w:rPr>
                <w:noProof/>
                <w:sz w:val="16"/>
                <w:szCs w:val="18"/>
                <w:lang w:val="de-CH"/>
              </w:rPr>
              <w:br/>
              <w:t>Tel.:</w:t>
            </w:r>
            <w:r w:rsidRPr="00FD2298">
              <w:rPr>
                <w:sz w:val="16"/>
                <w:szCs w:val="18"/>
                <w:lang w:val="de-DE"/>
              </w:rPr>
              <w:t xml:space="preserve"> +41 44 298 12 18</w:t>
            </w:r>
            <w:r w:rsidRPr="00FD2298">
              <w:rPr>
                <w:sz w:val="16"/>
                <w:szCs w:val="18"/>
                <w:lang w:val="de-DE"/>
              </w:rPr>
              <w:br/>
            </w:r>
            <w:hyperlink r:id="rId7" w:history="1">
              <w:r w:rsidRPr="00FD2298">
                <w:rPr>
                  <w:noProof/>
                  <w:sz w:val="16"/>
                  <w:szCs w:val="18"/>
                  <w:lang w:val="de-CH"/>
                </w:rPr>
                <w:t>paola.bregolisse@aonhewitt.com</w:t>
              </w:r>
            </w:hyperlink>
            <w:r w:rsidRPr="00FD2298">
              <w:rPr>
                <w:noProof/>
                <w:sz w:val="16"/>
                <w:szCs w:val="18"/>
                <w:lang w:val="de-CH"/>
              </w:rPr>
              <w:t xml:space="preserve"> – www.aonhewitt.ch</w:t>
            </w:r>
          </w:p>
        </w:tc>
        <w:tc>
          <w:tcPr>
            <w:tcW w:w="4536" w:type="dxa"/>
          </w:tcPr>
          <w:p w:rsidR="00BE36B4" w:rsidRPr="00FD2298" w:rsidRDefault="00BE36B4" w:rsidP="00D6382E">
            <w:pPr>
              <w:rPr>
                <w:sz w:val="16"/>
                <w:lang w:val="de-DE"/>
              </w:rPr>
            </w:pPr>
            <w:r w:rsidRPr="00FD2298">
              <w:rPr>
                <w:b/>
                <w:sz w:val="16"/>
                <w:lang w:val="de-DE"/>
              </w:rPr>
              <w:t>Presse- und Öffentlichkeitsarbeit:</w:t>
            </w:r>
            <w:r w:rsidRPr="00FD2298">
              <w:rPr>
                <w:sz w:val="16"/>
                <w:lang w:val="de-DE"/>
              </w:rPr>
              <w:br/>
            </w:r>
            <w:r w:rsidRPr="00FD2298">
              <w:rPr>
                <w:noProof/>
                <w:sz w:val="16"/>
                <w:szCs w:val="18"/>
                <w:lang w:val="de-CH"/>
              </w:rPr>
              <w:t>Press’n’Relations GmbH – Markus Häfliger</w:t>
            </w:r>
          </w:p>
          <w:p w:rsidR="00BE36B4" w:rsidRPr="00FD2298" w:rsidRDefault="00BE36B4" w:rsidP="00D6382E">
            <w:pPr>
              <w:rPr>
                <w:sz w:val="16"/>
                <w:lang w:val="de-DE"/>
              </w:rPr>
            </w:pPr>
            <w:r w:rsidRPr="00FD2298">
              <w:rPr>
                <w:noProof/>
                <w:sz w:val="16"/>
                <w:szCs w:val="18"/>
                <w:lang w:val="de-CH"/>
              </w:rPr>
              <w:t>Hirslanderstrasse 51 – 8032 Zürich</w:t>
            </w:r>
            <w:r w:rsidRPr="00FD2298">
              <w:rPr>
                <w:noProof/>
                <w:sz w:val="16"/>
                <w:szCs w:val="18"/>
                <w:lang w:val="de-CH"/>
              </w:rPr>
              <w:br/>
              <w:t>Tél.:</w:t>
            </w:r>
            <w:r w:rsidRPr="00FD2298">
              <w:rPr>
                <w:sz w:val="16"/>
                <w:szCs w:val="18"/>
                <w:lang w:val="de-DE"/>
              </w:rPr>
              <w:t xml:space="preserve"> </w:t>
            </w:r>
            <w:r w:rsidRPr="00FD2298">
              <w:rPr>
                <w:noProof/>
                <w:sz w:val="16"/>
                <w:szCs w:val="18"/>
                <w:lang w:val="de-CH"/>
              </w:rPr>
              <w:t>+41 43 344 58 65 – Fax:</w:t>
            </w:r>
            <w:r w:rsidRPr="00FD2298">
              <w:rPr>
                <w:sz w:val="16"/>
                <w:szCs w:val="18"/>
                <w:lang w:val="de-DE"/>
              </w:rPr>
              <w:t xml:space="preserve"> +41 43 344 58 69</w:t>
            </w:r>
            <w:r w:rsidRPr="00FD2298">
              <w:rPr>
                <w:sz w:val="16"/>
                <w:szCs w:val="18"/>
                <w:lang w:val="de-DE"/>
              </w:rPr>
              <w:br/>
              <w:t>mh@press-n-relations.ch –</w:t>
            </w:r>
            <w:r w:rsidRPr="00FD2298">
              <w:rPr>
                <w:noProof/>
                <w:sz w:val="16"/>
                <w:szCs w:val="18"/>
                <w:lang w:val="de-CH"/>
              </w:rPr>
              <w:t xml:space="preserve"> www.press-n-relations.ch</w:t>
            </w:r>
          </w:p>
        </w:tc>
      </w:tr>
    </w:tbl>
    <w:p w:rsidR="00BE36B4" w:rsidRDefault="00BE36B4" w:rsidP="00BE36B4">
      <w:pPr>
        <w:ind w:right="-1"/>
        <w:rPr>
          <w:color w:val="000080"/>
          <w:lang w:val="de-DE" w:eastAsia="de-DE"/>
        </w:rPr>
      </w:pPr>
    </w:p>
    <w:p w:rsidR="00BE36B4" w:rsidRPr="00D63D22" w:rsidRDefault="00BE36B4" w:rsidP="00BE36B4">
      <w:pPr>
        <w:ind w:right="-1"/>
        <w:rPr>
          <w:b/>
          <w:bCs/>
          <w:iCs/>
          <w:noProof/>
          <w:lang w:val="de-DE" w:eastAsia="ar-SA"/>
        </w:rPr>
      </w:pPr>
    </w:p>
    <w:p w:rsidR="00BE36B4" w:rsidRPr="00D63D22" w:rsidRDefault="00BE36B4" w:rsidP="00BE36B4">
      <w:pPr>
        <w:ind w:right="-1"/>
        <w:rPr>
          <w:szCs w:val="18"/>
          <w:lang w:val="de-DE"/>
        </w:rPr>
      </w:pPr>
      <w:r w:rsidRPr="00D63D22">
        <w:rPr>
          <w:b/>
          <w:bCs/>
          <w:iCs/>
          <w:noProof/>
          <w:lang w:val="de-DE" w:eastAsia="ar-SA"/>
        </w:rPr>
        <w:t>Über Aon Hewitt</w:t>
      </w:r>
    </w:p>
    <w:p w:rsidR="00BE36B4" w:rsidRPr="00D63D22" w:rsidRDefault="00BE36B4" w:rsidP="00BE36B4">
      <w:pPr>
        <w:ind w:right="-1"/>
        <w:rPr>
          <w:szCs w:val="18"/>
          <w:lang w:val="de-DE"/>
        </w:rPr>
      </w:pPr>
      <w:r w:rsidRPr="00D63D22">
        <w:rPr>
          <w:bCs/>
          <w:iCs/>
          <w:noProof/>
          <w:lang w:val="de-DE" w:eastAsia="ar-SA"/>
        </w:rPr>
        <w:t>Aon Hewitt ist weltweit führender Anbieter von Human Resources Lösungen. Das Unternehmen unterstützt seine Kunden bei der Lösung von komplexen Fragen rund um Benefits, Talente und damit verbundene finanzielle Herausforderungen und zur Verbesserung ihrer Geschäfts</w:t>
      </w:r>
      <w:r w:rsidRPr="00D63D22">
        <w:rPr>
          <w:bCs/>
          <w:iCs/>
          <w:noProof/>
          <w:lang w:val="de-DE" w:eastAsia="ar-SA"/>
        </w:rPr>
        <w:softHyphen/>
        <w:t>ergeb</w:t>
      </w:r>
      <w:r w:rsidRPr="00D63D22">
        <w:rPr>
          <w:bCs/>
          <w:iCs/>
          <w:noProof/>
          <w:lang w:val="de-DE" w:eastAsia="ar-SA"/>
        </w:rPr>
        <w:softHyphen/>
        <w:t xml:space="preserve">nisse. Aon Hewitt entwickelt, implementiert, kommuniziert und verwaltet eine breite Palette von Strategien in den Bereichen Human Resources, berufliche Vorsorge, Investment Management, Krankenkasse, Vergütung und Talent-Management. Aon Hewitt ist weltweit mit 29'000 Mitarbeitern in 90 Ländern vertreten. In der Schweiz engagieren sich 200 Mitarbeiter an den Standorten von Aon Hewitt in Bern, Genf, Neuchâtel, Nyon und Zürich. Weitere Informationen über Aon Hewitt finden Sie unter </w:t>
      </w:r>
      <w:hyperlink r:id="rId8" w:history="1">
        <w:r w:rsidRPr="00D63D22">
          <w:rPr>
            <w:rStyle w:val="Link"/>
            <w:bCs/>
            <w:iCs/>
            <w:noProof/>
            <w:lang w:val="de-DE" w:eastAsia="ar-SA"/>
          </w:rPr>
          <w:t>www.aonhewitt.ch</w:t>
        </w:r>
      </w:hyperlink>
      <w:r w:rsidRPr="00D63D22">
        <w:rPr>
          <w:bCs/>
          <w:iCs/>
          <w:noProof/>
          <w:lang w:val="de-DE" w:eastAsia="ar-SA"/>
        </w:rPr>
        <w:t>.</w:t>
      </w:r>
    </w:p>
    <w:p w:rsidR="00BE36B4" w:rsidRPr="00D63D22" w:rsidRDefault="00BE36B4" w:rsidP="00BE36B4">
      <w:pPr>
        <w:ind w:right="-1"/>
        <w:rPr>
          <w:szCs w:val="18"/>
          <w:lang w:val="de-DE"/>
        </w:rPr>
      </w:pPr>
    </w:p>
    <w:p w:rsidR="00BE36B4" w:rsidRPr="00D63D22" w:rsidRDefault="00BE36B4" w:rsidP="00BE36B4">
      <w:pPr>
        <w:ind w:right="-1"/>
        <w:rPr>
          <w:szCs w:val="18"/>
          <w:lang w:val="de-DE"/>
        </w:rPr>
      </w:pPr>
      <w:r w:rsidRPr="00D63D22">
        <w:rPr>
          <w:b/>
          <w:bCs/>
          <w:iCs/>
          <w:noProof/>
          <w:lang w:val="de-DE" w:eastAsia="ar-SA"/>
        </w:rPr>
        <w:t>Über Aon</w:t>
      </w:r>
    </w:p>
    <w:p w:rsidR="00BE36B4" w:rsidRPr="00D63D22" w:rsidRDefault="00BE36B4" w:rsidP="00BE36B4">
      <w:pPr>
        <w:ind w:right="-1"/>
        <w:rPr>
          <w:szCs w:val="18"/>
          <w:lang w:val="de-DE"/>
        </w:rPr>
      </w:pPr>
      <w:r w:rsidRPr="00D63D22">
        <w:rPr>
          <w:bCs/>
          <w:iCs/>
          <w:noProof/>
          <w:lang w:val="de-DE" w:eastAsia="ar-SA"/>
        </w:rPr>
        <w:t xml:space="preserve">Aon plc (NYSE: AON) ist der führende globale Dienstleister für Risikomanagement sowie Versicherungs- und Rückversicherungsmakler, und Berater für Human Resources und Outsourcing von Dienstleistungen. Mit mehr als 61'000 Mitarbeitern in über 120 Ländern der Welt verfügt Aon über die branchenführenden Ressourcen und das technische Know-how, um ihren  Kunden globale innovative und effiziente Lösungen in den Bereichen Risiko- und Human Resources Management erbringen zu können. Mehrfach wurde Aon von Fachmagazinen und –zeitschriften als weltbestes Maklerunternehmen, bester Versicherungs- und Rückversicherungsvermittler, Verwalter von Captivesunternehmen sowie bestes Benefits Beratungsunternehmen ausgezeichnet. Weitere Informationen zu Aon finden Sie unter </w:t>
      </w:r>
      <w:hyperlink r:id="rId9" w:history="1">
        <w:r w:rsidRPr="00D63D22">
          <w:rPr>
            <w:bCs/>
            <w:iCs/>
            <w:noProof/>
            <w:lang w:val="de-DE" w:eastAsia="ar-SA"/>
          </w:rPr>
          <w:t>http://www.aon.com</w:t>
        </w:r>
      </w:hyperlink>
      <w:r w:rsidRPr="00D63D22">
        <w:rPr>
          <w:bCs/>
          <w:iCs/>
          <w:noProof/>
          <w:lang w:val="de-DE" w:eastAsia="ar-SA"/>
        </w:rPr>
        <w:t xml:space="preserve">  und unter </w:t>
      </w:r>
      <w:hyperlink r:id="rId10" w:history="1">
        <w:r w:rsidRPr="00D63D22">
          <w:rPr>
            <w:bCs/>
            <w:iCs/>
            <w:noProof/>
            <w:lang w:val="de-DE" w:eastAsia="ar-SA"/>
          </w:rPr>
          <w:t>http://www.aon.com/manchesterunited</w:t>
        </w:r>
      </w:hyperlink>
      <w:r w:rsidRPr="00D63D22">
        <w:rPr>
          <w:bCs/>
          <w:iCs/>
          <w:noProof/>
          <w:lang w:val="de-DE" w:eastAsia="ar-SA"/>
        </w:rPr>
        <w:t xml:space="preserve"> zudem alles über die globale Partnerschaft zwischen Aon und </w:t>
      </w:r>
      <w:hyperlink r:id="rId11" w:history="1">
        <w:r w:rsidRPr="00D63D22">
          <w:rPr>
            <w:bCs/>
            <w:iCs/>
            <w:noProof/>
            <w:lang w:val="de-DE" w:eastAsia="ar-SA"/>
          </w:rPr>
          <w:t>Manchester United</w:t>
        </w:r>
      </w:hyperlink>
      <w:r w:rsidRPr="00D63D22">
        <w:rPr>
          <w:bCs/>
          <w:iCs/>
          <w:noProof/>
          <w:lang w:val="de-DE" w:eastAsia="ar-SA"/>
        </w:rPr>
        <w:t xml:space="preserve"> inklusive Trikosponsering des Vereins durch Aon.</w:t>
      </w:r>
    </w:p>
    <w:p w:rsidR="007B1ECA" w:rsidRDefault="00ED6ACE"/>
    <w:sectPr w:rsidR="007B1ECA" w:rsidSect="00C5175B">
      <w:headerReference w:type="default" r:id="rId12"/>
      <w:pgSz w:w="11906" w:h="16838" w:code="9"/>
      <w:pgMar w:top="2552" w:right="1416" w:bottom="1843" w:left="1560" w:header="567"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H-Times">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5E6E" w:rsidRDefault="00CE3EDA" w:rsidP="00C5175B">
    <w:pPr>
      <w:pStyle w:val="Kopfzeile"/>
      <w:spacing w:line="336" w:lineRule="auto"/>
      <w:rPr>
        <w:sz w:val="18"/>
        <w:szCs w:val="18"/>
        <w:lang w:val="de-DE"/>
      </w:rPr>
    </w:pPr>
    <w:r>
      <w:rPr>
        <w:noProof/>
        <w:lang w:val="de-DE" w:eastAsia="de-DE"/>
      </w:rPr>
      <w:drawing>
        <wp:anchor distT="0" distB="0" distL="114300" distR="114300" simplePos="0" relativeHeight="251659264" behindDoc="0" locked="0" layoutInCell="1" allowOverlap="1">
          <wp:simplePos x="0" y="0"/>
          <wp:positionH relativeFrom="column">
            <wp:posOffset>3795395</wp:posOffset>
          </wp:positionH>
          <wp:positionV relativeFrom="paragraph">
            <wp:posOffset>152400</wp:posOffset>
          </wp:positionV>
          <wp:extent cx="2210435" cy="860425"/>
          <wp:effectExtent l="0" t="0" r="0" b="3175"/>
          <wp:wrapNone/>
          <wp:docPr id="8"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210435" cy="860425"/>
                  </a:xfrm>
                  <a:prstGeom prst="rect">
                    <a:avLst/>
                  </a:prstGeom>
                  <a:noFill/>
                </pic:spPr>
              </pic:pic>
            </a:graphicData>
          </a:graphic>
        </wp:anchor>
      </w:drawing>
    </w:r>
  </w:p>
  <w:p w:rsidR="005D5E6E" w:rsidRDefault="00ED6ACE" w:rsidP="00C5175B">
    <w:pPr>
      <w:pStyle w:val="Kopfzeile"/>
      <w:spacing w:line="336" w:lineRule="auto"/>
      <w:rPr>
        <w:sz w:val="18"/>
        <w:szCs w:val="18"/>
      </w:rPr>
    </w:pPr>
  </w:p>
  <w:p w:rsidR="005D5E6E" w:rsidRDefault="00ED6ACE" w:rsidP="00C5175B">
    <w:pPr>
      <w:spacing w:line="336" w:lineRule="auto"/>
      <w:rPr>
        <w:sz w:val="18"/>
        <w:szCs w:val="18"/>
      </w:rPr>
    </w:pPr>
  </w:p>
  <w:p w:rsidR="005D5E6E" w:rsidRPr="00F65173" w:rsidRDefault="00CE3EDA" w:rsidP="00C5175B">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5AC24538"/>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1FE6FAF6"/>
    <w:lvl w:ilvl="0">
      <w:start w:val="1"/>
      <w:numFmt w:val="decimal"/>
      <w:lvlText w:val="%1."/>
      <w:lvlJc w:val="left"/>
      <w:pPr>
        <w:tabs>
          <w:tab w:val="num" w:pos="1492"/>
        </w:tabs>
        <w:ind w:left="1492" w:hanging="360"/>
      </w:pPr>
      <w:rPr>
        <w:rFonts w:cs="Times New Roman"/>
      </w:rPr>
    </w:lvl>
  </w:abstractNum>
  <w:abstractNum w:abstractNumId="2">
    <w:nsid w:val="FFFFFF7D"/>
    <w:multiLevelType w:val="singleLevel"/>
    <w:tmpl w:val="8B50FADA"/>
    <w:lvl w:ilvl="0">
      <w:start w:val="1"/>
      <w:numFmt w:val="decimal"/>
      <w:lvlText w:val="%1."/>
      <w:lvlJc w:val="left"/>
      <w:pPr>
        <w:tabs>
          <w:tab w:val="num" w:pos="1209"/>
        </w:tabs>
        <w:ind w:left="1209" w:hanging="360"/>
      </w:pPr>
      <w:rPr>
        <w:rFonts w:cs="Times New Roman"/>
      </w:rPr>
    </w:lvl>
  </w:abstractNum>
  <w:abstractNum w:abstractNumId="3">
    <w:nsid w:val="FFFFFF7E"/>
    <w:multiLevelType w:val="singleLevel"/>
    <w:tmpl w:val="6F8E2FFE"/>
    <w:lvl w:ilvl="0">
      <w:start w:val="1"/>
      <w:numFmt w:val="decimal"/>
      <w:lvlText w:val="%1."/>
      <w:lvlJc w:val="left"/>
      <w:pPr>
        <w:tabs>
          <w:tab w:val="num" w:pos="926"/>
        </w:tabs>
        <w:ind w:left="926" w:hanging="360"/>
      </w:pPr>
      <w:rPr>
        <w:rFonts w:cs="Times New Roman"/>
      </w:rPr>
    </w:lvl>
  </w:abstractNum>
  <w:abstractNum w:abstractNumId="4">
    <w:nsid w:val="FFFFFF7F"/>
    <w:multiLevelType w:val="singleLevel"/>
    <w:tmpl w:val="F2A2BD08"/>
    <w:lvl w:ilvl="0">
      <w:start w:val="1"/>
      <w:numFmt w:val="decimal"/>
      <w:lvlText w:val="%1."/>
      <w:lvlJc w:val="left"/>
      <w:pPr>
        <w:tabs>
          <w:tab w:val="num" w:pos="643"/>
        </w:tabs>
        <w:ind w:left="643" w:hanging="360"/>
      </w:pPr>
      <w:rPr>
        <w:rFonts w:cs="Times New Roman"/>
      </w:rPr>
    </w:lvl>
  </w:abstractNum>
  <w:abstractNum w:abstractNumId="5">
    <w:nsid w:val="FFFFFF80"/>
    <w:multiLevelType w:val="singleLevel"/>
    <w:tmpl w:val="715E9202"/>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A185FF4"/>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05C47CD2"/>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FEF6F238"/>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7038B2C0"/>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901AD08C"/>
    <w:lvl w:ilvl="0">
      <w:start w:val="1"/>
      <w:numFmt w:val="bullet"/>
      <w:pStyle w:val="Aufzhlungszeichen"/>
      <w:lvlText w:val=""/>
      <w:lvlJc w:val="left"/>
      <w:pPr>
        <w:tabs>
          <w:tab w:val="num" w:pos="360"/>
        </w:tabs>
        <w:ind w:left="360" w:hanging="360"/>
      </w:pPr>
      <w:rPr>
        <w:rFonts w:ascii="Symbol" w:hAnsi="Symbol" w:hint="default"/>
      </w:rPr>
    </w:lvl>
  </w:abstractNum>
  <w:abstractNum w:abstractNumId="1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nsid w:val="0929218A"/>
    <w:multiLevelType w:val="hybridMultilevel"/>
    <w:tmpl w:val="A6CA44D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11360868"/>
    <w:multiLevelType w:val="hybridMultilevel"/>
    <w:tmpl w:val="6192AAD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18F35524"/>
    <w:multiLevelType w:val="hybridMultilevel"/>
    <w:tmpl w:val="0E16E40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nsid w:val="1D0D3E6D"/>
    <w:multiLevelType w:val="hybridMultilevel"/>
    <w:tmpl w:val="C818EAAC"/>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6">
    <w:nsid w:val="24EB0854"/>
    <w:multiLevelType w:val="hybridMultilevel"/>
    <w:tmpl w:val="7A9AC1B0"/>
    <w:lvl w:ilvl="0" w:tplc="0809000F">
      <w:start w:val="1"/>
      <w:numFmt w:val="decimal"/>
      <w:lvlText w:val="%1."/>
      <w:lvlJc w:val="left"/>
      <w:pPr>
        <w:tabs>
          <w:tab w:val="num" w:pos="1440"/>
        </w:tabs>
        <w:ind w:left="1440" w:hanging="360"/>
      </w:pPr>
      <w:rPr>
        <w:rFonts w:cs="Times New Roman"/>
      </w:rPr>
    </w:lvl>
    <w:lvl w:ilvl="1" w:tplc="08090019" w:tentative="1">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17">
    <w:nsid w:val="27FD54D0"/>
    <w:multiLevelType w:val="multilevel"/>
    <w:tmpl w:val="C7522110"/>
    <w:lvl w:ilvl="0">
      <w:start w:val="1"/>
      <w:numFmt w:val="decimal"/>
      <w:lvlText w:val="%1."/>
      <w:lvlJc w:val="left"/>
      <w:pPr>
        <w:tabs>
          <w:tab w:val="num" w:pos="360"/>
        </w:tabs>
        <w:ind w:left="360" w:hanging="360"/>
      </w:pPr>
      <w:rPr>
        <w:rFonts w:ascii="Arial" w:eastAsia="Times New Roman" w:hAnsi="Arial" w:cs="Symbol"/>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302C3926"/>
    <w:multiLevelType w:val="hybridMultilevel"/>
    <w:tmpl w:val="51407E2C"/>
    <w:lvl w:ilvl="0" w:tplc="F6327C54">
      <w:start w:val="1"/>
      <w:numFmt w:val="bullet"/>
      <w:lvlText w:val=""/>
      <w:lvlJc w:val="left"/>
      <w:pPr>
        <w:tabs>
          <w:tab w:val="num" w:pos="340"/>
        </w:tabs>
        <w:ind w:left="340" w:hanging="34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33062340"/>
    <w:multiLevelType w:val="multilevel"/>
    <w:tmpl w:val="EAEE73F0"/>
    <w:lvl w:ilvl="0">
      <w:start w:val="1"/>
      <w:numFmt w:val="decimal"/>
      <w:lvlText w:val="%1."/>
      <w:lvlJc w:val="left"/>
      <w:pPr>
        <w:tabs>
          <w:tab w:val="num" w:pos="360"/>
        </w:tabs>
        <w:ind w:left="360" w:hanging="360"/>
      </w:pPr>
      <w:rPr>
        <w:rFonts w:ascii="Helvetica" w:hAnsi="Helvetica" w:cs="Times New Roman" w:hint="default"/>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37F61AB8"/>
    <w:multiLevelType w:val="hybridMultilevel"/>
    <w:tmpl w:val="9236A5F4"/>
    <w:lvl w:ilvl="0" w:tplc="918899B6">
      <w:start w:val="1"/>
      <w:numFmt w:val="bullet"/>
      <w:lvlText w:val="■"/>
      <w:lvlJc w:val="left"/>
      <w:pPr>
        <w:tabs>
          <w:tab w:val="num" w:pos="360"/>
        </w:tabs>
        <w:ind w:left="360" w:hanging="360"/>
      </w:pPr>
      <w:rPr>
        <w:rFonts w:ascii="Arial"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nsid w:val="39330A75"/>
    <w:multiLevelType w:val="hybridMultilevel"/>
    <w:tmpl w:val="B65091B0"/>
    <w:lvl w:ilvl="0" w:tplc="79D0BE12">
      <w:start w:val="1"/>
      <w:numFmt w:val="bullet"/>
      <w:lvlText w:val=""/>
      <w:lvlJc w:val="left"/>
      <w:pPr>
        <w:ind w:left="360" w:hanging="360"/>
      </w:pPr>
      <w:rPr>
        <w:rFonts w:ascii="Wingdings" w:hAnsi="Wingdings" w:hint="default"/>
        <w:color w:val="FF6600"/>
        <w:sz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nsid w:val="3E9E7C97"/>
    <w:multiLevelType w:val="hybridMultilevel"/>
    <w:tmpl w:val="1D281224"/>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3">
    <w:nsid w:val="419B16B8"/>
    <w:multiLevelType w:val="hybridMultilevel"/>
    <w:tmpl w:val="A2EA6C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45395EFB"/>
    <w:multiLevelType w:val="hybridMultilevel"/>
    <w:tmpl w:val="25F6D45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nsid w:val="498412D2"/>
    <w:multiLevelType w:val="hybridMultilevel"/>
    <w:tmpl w:val="E9ECBF5C"/>
    <w:lvl w:ilvl="0" w:tplc="723038C0">
      <w:start w:val="1"/>
      <w:numFmt w:val="decimal"/>
      <w:lvlText w:val="%1."/>
      <w:lvlJc w:val="left"/>
      <w:pPr>
        <w:tabs>
          <w:tab w:val="num" w:pos="360"/>
        </w:tabs>
        <w:ind w:left="360" w:hanging="360"/>
      </w:pPr>
      <w:rPr>
        <w:rFonts w:ascii="Helvetica" w:hAnsi="Helvetica" w:cs="Times New Roman" w:hint="default"/>
        <w:color w:val="auto"/>
        <w:sz w:val="32"/>
        <w:szCs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nsid w:val="50A05830"/>
    <w:multiLevelType w:val="multilevel"/>
    <w:tmpl w:val="998E56FA"/>
    <w:lvl w:ilvl="0">
      <w:start w:val="1"/>
      <w:numFmt w:val="bullet"/>
      <w:lvlText w:val=""/>
      <w:lvlJc w:val="left"/>
      <w:pPr>
        <w:ind w:left="360" w:hanging="360"/>
      </w:pPr>
      <w:rPr>
        <w:rFonts w:ascii="Wingdings" w:hAnsi="Wingdings" w:hint="default"/>
        <w:color w:val="FF6600"/>
      </w:rPr>
    </w:lvl>
    <w:lvl w:ilvl="1">
      <w:start w:val="1"/>
      <w:numFmt w:val="bullet"/>
      <w:lvlText w:val="o"/>
      <w:lvlJc w:val="left"/>
      <w:pPr>
        <w:ind w:left="731" w:hanging="360"/>
      </w:pPr>
      <w:rPr>
        <w:rFonts w:ascii="Courier New" w:hAnsi="Courier New" w:hint="default"/>
      </w:rPr>
    </w:lvl>
    <w:lvl w:ilvl="2">
      <w:start w:val="1"/>
      <w:numFmt w:val="bullet"/>
      <w:lvlText w:val=""/>
      <w:lvlJc w:val="left"/>
      <w:pPr>
        <w:ind w:left="1451" w:hanging="360"/>
      </w:pPr>
      <w:rPr>
        <w:rFonts w:ascii="Wingdings" w:hAnsi="Wingdings" w:hint="default"/>
      </w:rPr>
    </w:lvl>
    <w:lvl w:ilvl="3">
      <w:start w:val="1"/>
      <w:numFmt w:val="bullet"/>
      <w:lvlText w:val=""/>
      <w:lvlJc w:val="left"/>
      <w:pPr>
        <w:ind w:left="2171" w:hanging="360"/>
      </w:pPr>
      <w:rPr>
        <w:rFonts w:ascii="Symbol" w:hAnsi="Symbol" w:hint="default"/>
      </w:rPr>
    </w:lvl>
    <w:lvl w:ilvl="4">
      <w:start w:val="1"/>
      <w:numFmt w:val="bullet"/>
      <w:lvlText w:val="o"/>
      <w:lvlJc w:val="left"/>
      <w:pPr>
        <w:ind w:left="2891" w:hanging="360"/>
      </w:pPr>
      <w:rPr>
        <w:rFonts w:ascii="Courier New" w:hAnsi="Courier New" w:hint="default"/>
      </w:rPr>
    </w:lvl>
    <w:lvl w:ilvl="5">
      <w:start w:val="1"/>
      <w:numFmt w:val="bullet"/>
      <w:lvlText w:val=""/>
      <w:lvlJc w:val="left"/>
      <w:pPr>
        <w:ind w:left="3611" w:hanging="360"/>
      </w:pPr>
      <w:rPr>
        <w:rFonts w:ascii="Wingdings" w:hAnsi="Wingdings" w:hint="default"/>
      </w:rPr>
    </w:lvl>
    <w:lvl w:ilvl="6">
      <w:start w:val="1"/>
      <w:numFmt w:val="bullet"/>
      <w:lvlText w:val=""/>
      <w:lvlJc w:val="left"/>
      <w:pPr>
        <w:ind w:left="4331" w:hanging="360"/>
      </w:pPr>
      <w:rPr>
        <w:rFonts w:ascii="Symbol" w:hAnsi="Symbol" w:hint="default"/>
      </w:rPr>
    </w:lvl>
    <w:lvl w:ilvl="7">
      <w:start w:val="1"/>
      <w:numFmt w:val="bullet"/>
      <w:lvlText w:val="o"/>
      <w:lvlJc w:val="left"/>
      <w:pPr>
        <w:ind w:left="5051" w:hanging="360"/>
      </w:pPr>
      <w:rPr>
        <w:rFonts w:ascii="Courier New" w:hAnsi="Courier New" w:hint="default"/>
      </w:rPr>
    </w:lvl>
    <w:lvl w:ilvl="8">
      <w:start w:val="1"/>
      <w:numFmt w:val="bullet"/>
      <w:lvlText w:val=""/>
      <w:lvlJc w:val="left"/>
      <w:pPr>
        <w:ind w:left="5771" w:hanging="360"/>
      </w:pPr>
      <w:rPr>
        <w:rFonts w:ascii="Wingdings" w:hAnsi="Wingdings" w:hint="default"/>
      </w:rPr>
    </w:lvl>
  </w:abstractNum>
  <w:abstractNum w:abstractNumId="27">
    <w:nsid w:val="5C4A4CDC"/>
    <w:multiLevelType w:val="hybridMultilevel"/>
    <w:tmpl w:val="998E56FA"/>
    <w:lvl w:ilvl="0" w:tplc="79D0BE12">
      <w:start w:val="1"/>
      <w:numFmt w:val="bullet"/>
      <w:lvlText w:val=""/>
      <w:lvlJc w:val="left"/>
      <w:pPr>
        <w:ind w:left="360" w:hanging="360"/>
      </w:pPr>
      <w:rPr>
        <w:rFonts w:ascii="Wingdings" w:hAnsi="Wingdings" w:hint="default"/>
        <w:color w:val="FF6600"/>
      </w:rPr>
    </w:lvl>
    <w:lvl w:ilvl="1" w:tplc="04070003" w:tentative="1">
      <w:start w:val="1"/>
      <w:numFmt w:val="bullet"/>
      <w:lvlText w:val="o"/>
      <w:lvlJc w:val="left"/>
      <w:pPr>
        <w:ind w:left="731" w:hanging="360"/>
      </w:pPr>
      <w:rPr>
        <w:rFonts w:ascii="Courier New" w:hAnsi="Courier New" w:hint="default"/>
      </w:rPr>
    </w:lvl>
    <w:lvl w:ilvl="2" w:tplc="04070005" w:tentative="1">
      <w:start w:val="1"/>
      <w:numFmt w:val="bullet"/>
      <w:lvlText w:val=""/>
      <w:lvlJc w:val="left"/>
      <w:pPr>
        <w:ind w:left="1451" w:hanging="360"/>
      </w:pPr>
      <w:rPr>
        <w:rFonts w:ascii="Wingdings" w:hAnsi="Wingdings" w:hint="default"/>
      </w:rPr>
    </w:lvl>
    <w:lvl w:ilvl="3" w:tplc="04070001" w:tentative="1">
      <w:start w:val="1"/>
      <w:numFmt w:val="bullet"/>
      <w:lvlText w:val=""/>
      <w:lvlJc w:val="left"/>
      <w:pPr>
        <w:ind w:left="2171" w:hanging="360"/>
      </w:pPr>
      <w:rPr>
        <w:rFonts w:ascii="Symbol" w:hAnsi="Symbol" w:hint="default"/>
      </w:rPr>
    </w:lvl>
    <w:lvl w:ilvl="4" w:tplc="04070003" w:tentative="1">
      <w:start w:val="1"/>
      <w:numFmt w:val="bullet"/>
      <w:lvlText w:val="o"/>
      <w:lvlJc w:val="left"/>
      <w:pPr>
        <w:ind w:left="2891" w:hanging="360"/>
      </w:pPr>
      <w:rPr>
        <w:rFonts w:ascii="Courier New" w:hAnsi="Courier New" w:hint="default"/>
      </w:rPr>
    </w:lvl>
    <w:lvl w:ilvl="5" w:tplc="04070005" w:tentative="1">
      <w:start w:val="1"/>
      <w:numFmt w:val="bullet"/>
      <w:lvlText w:val=""/>
      <w:lvlJc w:val="left"/>
      <w:pPr>
        <w:ind w:left="3611" w:hanging="360"/>
      </w:pPr>
      <w:rPr>
        <w:rFonts w:ascii="Wingdings" w:hAnsi="Wingdings" w:hint="default"/>
      </w:rPr>
    </w:lvl>
    <w:lvl w:ilvl="6" w:tplc="04070001" w:tentative="1">
      <w:start w:val="1"/>
      <w:numFmt w:val="bullet"/>
      <w:lvlText w:val=""/>
      <w:lvlJc w:val="left"/>
      <w:pPr>
        <w:ind w:left="4331" w:hanging="360"/>
      </w:pPr>
      <w:rPr>
        <w:rFonts w:ascii="Symbol" w:hAnsi="Symbol" w:hint="default"/>
      </w:rPr>
    </w:lvl>
    <w:lvl w:ilvl="7" w:tplc="04070003" w:tentative="1">
      <w:start w:val="1"/>
      <w:numFmt w:val="bullet"/>
      <w:lvlText w:val="o"/>
      <w:lvlJc w:val="left"/>
      <w:pPr>
        <w:ind w:left="5051" w:hanging="360"/>
      </w:pPr>
      <w:rPr>
        <w:rFonts w:ascii="Courier New" w:hAnsi="Courier New" w:hint="default"/>
      </w:rPr>
    </w:lvl>
    <w:lvl w:ilvl="8" w:tplc="04070005" w:tentative="1">
      <w:start w:val="1"/>
      <w:numFmt w:val="bullet"/>
      <w:lvlText w:val=""/>
      <w:lvlJc w:val="left"/>
      <w:pPr>
        <w:ind w:left="5771" w:hanging="360"/>
      </w:pPr>
      <w:rPr>
        <w:rFonts w:ascii="Wingdings" w:hAnsi="Wingdings" w:hint="default"/>
      </w:rPr>
    </w:lvl>
  </w:abstractNum>
  <w:abstractNum w:abstractNumId="28">
    <w:nsid w:val="5E0E12B2"/>
    <w:multiLevelType w:val="hybridMultilevel"/>
    <w:tmpl w:val="B51A21E8"/>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nsid w:val="5E693889"/>
    <w:multiLevelType w:val="hybridMultilevel"/>
    <w:tmpl w:val="2B5A5FF8"/>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0">
    <w:nsid w:val="6C6D5687"/>
    <w:multiLevelType w:val="hybridMultilevel"/>
    <w:tmpl w:val="D4660070"/>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1">
    <w:nsid w:val="72FD239F"/>
    <w:multiLevelType w:val="hybridMultilevel"/>
    <w:tmpl w:val="84CE33CC"/>
    <w:lvl w:ilvl="0" w:tplc="CB6C89AA">
      <w:start w:val="1"/>
      <w:numFmt w:val="bullet"/>
      <w:lvlText w:val=""/>
      <w:lvlJc w:val="left"/>
      <w:pPr>
        <w:ind w:left="360" w:hanging="360"/>
      </w:pPr>
      <w:rPr>
        <w:rFonts w:ascii="Wingdings" w:hAnsi="Wingdings" w:hint="default"/>
        <w:color w:val="auto"/>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7D75465B"/>
    <w:multiLevelType w:val="multilevel"/>
    <w:tmpl w:val="EAD0EF1A"/>
    <w:lvl w:ilvl="0">
      <w:start w:val="1"/>
      <w:numFmt w:val="bullet"/>
      <w:lvlText w:val="■"/>
      <w:lvlJc w:val="left"/>
      <w:pPr>
        <w:tabs>
          <w:tab w:val="num" w:pos="360"/>
        </w:tabs>
        <w:ind w:left="216" w:hanging="216"/>
      </w:pPr>
      <w:rPr>
        <w:rFonts w:ascii="Times New Roman" w:hAnsi="Times New Roman" w:hint="default"/>
        <w:b w:val="0"/>
        <w:i w:val="0"/>
        <w:sz w:val="23"/>
      </w:rPr>
    </w:lvl>
    <w:lvl w:ilvl="1">
      <w:start w:val="1"/>
      <w:numFmt w:val="bullet"/>
      <w:lvlRestart w:val="0"/>
      <w:pStyle w:val="EmDashDS"/>
      <w:lvlText w:val=""/>
      <w:lvlJc w:val="left"/>
      <w:pPr>
        <w:tabs>
          <w:tab w:val="num" w:pos="576"/>
        </w:tabs>
        <w:ind w:left="533" w:hanging="317"/>
      </w:pPr>
      <w:rPr>
        <w:rFonts w:ascii="Symbol" w:hAnsi="Symbol" w:hint="default"/>
        <w:b w:val="0"/>
        <w:i w:val="0"/>
        <w:sz w:val="23"/>
      </w:rPr>
    </w:lvl>
    <w:lvl w:ilvl="2">
      <w:start w:val="1"/>
      <w:numFmt w:val="bullet"/>
      <w:lvlRestart w:val="0"/>
      <w:lvlText w:val="–"/>
      <w:lvlJc w:val="left"/>
      <w:pPr>
        <w:tabs>
          <w:tab w:val="num" w:pos="893"/>
        </w:tabs>
        <w:ind w:left="734" w:hanging="201"/>
      </w:pPr>
      <w:rPr>
        <w:rFonts w:ascii="Times" w:hAnsi="Times" w:hint="default"/>
        <w:b w:val="0"/>
        <w:i w:val="0"/>
        <w:sz w:val="23"/>
      </w:rPr>
    </w:lvl>
    <w:lvl w:ilvl="3">
      <w:start w:val="1"/>
      <w:numFmt w:val="none"/>
      <w:lvlText w:val=""/>
      <w:lvlJc w:val="left"/>
      <w:pPr>
        <w:tabs>
          <w:tab w:val="num" w:pos="1440"/>
        </w:tabs>
        <w:ind w:left="1440" w:hanging="360"/>
      </w:pPr>
      <w:rPr>
        <w:rFonts w:cs="Times New Roman" w:hint="default"/>
      </w:rPr>
    </w:lvl>
    <w:lvl w:ilvl="4">
      <w:start w:val="1"/>
      <w:numFmt w:val="none"/>
      <w:lvlText w:val=""/>
      <w:lvlJc w:val="left"/>
      <w:pPr>
        <w:tabs>
          <w:tab w:val="num" w:pos="1800"/>
        </w:tabs>
        <w:ind w:left="1800" w:hanging="360"/>
      </w:pPr>
      <w:rPr>
        <w:rFonts w:cs="Times New Roman" w:hint="default"/>
      </w:rPr>
    </w:lvl>
    <w:lvl w:ilvl="5">
      <w:start w:val="1"/>
      <w:numFmt w:val="none"/>
      <w:lvlText w:val=""/>
      <w:lvlJc w:val="left"/>
      <w:pPr>
        <w:tabs>
          <w:tab w:val="num" w:pos="2160"/>
        </w:tabs>
        <w:ind w:left="2160" w:hanging="360"/>
      </w:pPr>
      <w:rPr>
        <w:rFonts w:cs="Times New Roman" w:hint="default"/>
      </w:rPr>
    </w:lvl>
    <w:lvl w:ilvl="6">
      <w:start w:val="1"/>
      <w:numFmt w:val="none"/>
      <w:lvlText w:val=""/>
      <w:lvlJc w:val="left"/>
      <w:pPr>
        <w:tabs>
          <w:tab w:val="num" w:pos="2520"/>
        </w:tabs>
        <w:ind w:left="2520" w:hanging="360"/>
      </w:pPr>
      <w:rPr>
        <w:rFonts w:cs="Times New Roman" w:hint="default"/>
      </w:rPr>
    </w:lvl>
    <w:lvl w:ilvl="7">
      <w:start w:val="1"/>
      <w:numFmt w:val="none"/>
      <w:lvlText w:val=""/>
      <w:lvlJc w:val="left"/>
      <w:pPr>
        <w:tabs>
          <w:tab w:val="num" w:pos="2880"/>
        </w:tabs>
        <w:ind w:left="2880" w:hanging="360"/>
      </w:pPr>
      <w:rPr>
        <w:rFonts w:cs="Times New Roman" w:hint="default"/>
      </w:rPr>
    </w:lvl>
    <w:lvl w:ilvl="8">
      <w:start w:val="1"/>
      <w:numFmt w:val="none"/>
      <w:lvlText w:val=""/>
      <w:lvlJc w:val="left"/>
      <w:pPr>
        <w:tabs>
          <w:tab w:val="num" w:pos="3240"/>
        </w:tabs>
        <w:ind w:left="3240" w:hanging="360"/>
      </w:pPr>
      <w:rPr>
        <w:rFonts w:cs="Times New Roman" w:hint="default"/>
      </w:r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15"/>
  </w:num>
  <w:num w:numId="12">
    <w:abstractNumId w:val="13"/>
  </w:num>
  <w:num w:numId="13">
    <w:abstractNumId w:val="23"/>
  </w:num>
  <w:num w:numId="14">
    <w:abstractNumId w:val="16"/>
  </w:num>
  <w:num w:numId="15">
    <w:abstractNumId w:val="29"/>
  </w:num>
  <w:num w:numId="16">
    <w:abstractNumId w:val="22"/>
  </w:num>
  <w:num w:numId="17">
    <w:abstractNumId w:val="14"/>
  </w:num>
  <w:num w:numId="18">
    <w:abstractNumId w:val="20"/>
  </w:num>
  <w:num w:numId="19">
    <w:abstractNumId w:val="18"/>
  </w:num>
  <w:num w:numId="20">
    <w:abstractNumId w:val="32"/>
  </w:num>
  <w:num w:numId="21">
    <w:abstractNumId w:val="11"/>
  </w:num>
  <w:num w:numId="22">
    <w:abstractNumId w:val="25"/>
  </w:num>
  <w:num w:numId="23">
    <w:abstractNumId w:val="17"/>
  </w:num>
  <w:num w:numId="24">
    <w:abstractNumId w:val="19"/>
  </w:num>
  <w:num w:numId="25">
    <w:abstractNumId w:val="21"/>
  </w:num>
  <w:num w:numId="26">
    <w:abstractNumId w:val="27"/>
  </w:num>
  <w:num w:numId="27">
    <w:abstractNumId w:val="26"/>
  </w:num>
  <w:num w:numId="28">
    <w:abstractNumId w:val="31"/>
  </w:num>
  <w:num w:numId="29">
    <w:abstractNumId w:val="28"/>
  </w:num>
  <w:num w:numId="30">
    <w:abstractNumId w:val="12"/>
  </w:num>
  <w:num w:numId="31">
    <w:abstractNumId w:val="24"/>
  </w:num>
  <w:num w:numId="32">
    <w:abstractNumId w:val="30"/>
  </w:num>
  <w:num w:numId="3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CE3EDA"/>
    <w:rsid w:val="00232FDE"/>
    <w:rsid w:val="00365FAD"/>
    <w:rsid w:val="00636D7E"/>
    <w:rsid w:val="006463D4"/>
    <w:rsid w:val="00667DBE"/>
    <w:rsid w:val="00671B78"/>
    <w:rsid w:val="00BE36B4"/>
    <w:rsid w:val="00C90BAD"/>
    <w:rsid w:val="00CE3EDA"/>
    <w:rsid w:val="00ED6ACE"/>
    <w:rsid w:val="00EF2E8B"/>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No List" w:uiPriority="0"/>
    <w:lsdException w:name="Table Grid" w:semiHidden="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E3EDA"/>
    <w:pPr>
      <w:overflowPunct w:val="0"/>
      <w:autoSpaceDE w:val="0"/>
      <w:autoSpaceDN w:val="0"/>
      <w:adjustRightInd w:val="0"/>
      <w:textAlignment w:val="baseline"/>
    </w:pPr>
    <w:rPr>
      <w:rFonts w:ascii="Arial" w:eastAsia="Times New Roman" w:hAnsi="Arial" w:cs="Arial"/>
      <w:color w:val="000000"/>
      <w:sz w:val="20"/>
      <w:szCs w:val="20"/>
      <w:lang w:val="en-GB" w:eastAsia="fr-FR"/>
    </w:rPr>
  </w:style>
  <w:style w:type="paragraph" w:styleId="berschrift1">
    <w:name w:val="heading 1"/>
    <w:basedOn w:val="Standard"/>
    <w:next w:val="NormalDS"/>
    <w:link w:val="berschrift1Zeichen"/>
    <w:uiPriority w:val="99"/>
    <w:qFormat/>
    <w:rsid w:val="00CE3EDA"/>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CE3EDA"/>
    <w:pPr>
      <w:keepNext/>
      <w:spacing w:before="240" w:after="60"/>
      <w:outlineLvl w:val="2"/>
    </w:pPr>
    <w:rPr>
      <w:b/>
      <w:bCs/>
      <w:sz w:val="26"/>
      <w:szCs w:val="26"/>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basedOn w:val="Absatzstandardschriftart"/>
    <w:link w:val="berschrift1"/>
    <w:uiPriority w:val="99"/>
    <w:rsid w:val="00CE3EDA"/>
    <w:rPr>
      <w:rFonts w:ascii="Arial" w:eastAsia="Times New Roman" w:hAnsi="Arial" w:cs="Arial"/>
      <w:b/>
      <w:bCs/>
      <w:color w:val="000000"/>
      <w:lang w:val="en-US" w:eastAsia="fr-FR"/>
    </w:rPr>
  </w:style>
  <w:style w:type="character" w:customStyle="1" w:styleId="berschrift3Zeichen">
    <w:name w:val="Überschrift 3 Zeichen"/>
    <w:basedOn w:val="Absatzstandardschriftart"/>
    <w:link w:val="berschrift3"/>
    <w:uiPriority w:val="99"/>
    <w:rsid w:val="00CE3EDA"/>
    <w:rPr>
      <w:rFonts w:ascii="Arial" w:eastAsia="Times New Roman" w:hAnsi="Arial" w:cs="Arial"/>
      <w:b/>
      <w:bCs/>
      <w:color w:val="000000"/>
      <w:sz w:val="26"/>
      <w:szCs w:val="26"/>
      <w:lang w:val="en-GB" w:eastAsia="fr-FR"/>
    </w:rPr>
  </w:style>
  <w:style w:type="paragraph" w:styleId="Kopfzeile">
    <w:name w:val="header"/>
    <w:basedOn w:val="Standard"/>
    <w:link w:val="KopfzeileZeichen"/>
    <w:uiPriority w:val="99"/>
    <w:rsid w:val="00CE3EDA"/>
    <w:pPr>
      <w:tabs>
        <w:tab w:val="center" w:pos="4153"/>
        <w:tab w:val="right" w:pos="8306"/>
      </w:tabs>
    </w:pPr>
  </w:style>
  <w:style w:type="character" w:customStyle="1" w:styleId="KopfzeileZeichen">
    <w:name w:val="Kopfzeile Zeichen"/>
    <w:basedOn w:val="Absatzstandardschriftart"/>
    <w:link w:val="Kopfzeile"/>
    <w:uiPriority w:val="99"/>
    <w:rsid w:val="00CE3EDA"/>
    <w:rPr>
      <w:rFonts w:ascii="Arial" w:eastAsia="Times New Roman" w:hAnsi="Arial" w:cs="Arial"/>
      <w:color w:val="000000"/>
      <w:sz w:val="20"/>
      <w:szCs w:val="20"/>
      <w:lang w:val="en-GB" w:eastAsia="fr-FR"/>
    </w:rPr>
  </w:style>
  <w:style w:type="paragraph" w:styleId="Fuzeile">
    <w:name w:val="footer"/>
    <w:basedOn w:val="Standard"/>
    <w:link w:val="FuzeileZeichen"/>
    <w:uiPriority w:val="99"/>
    <w:rsid w:val="00CE3EDA"/>
    <w:pPr>
      <w:tabs>
        <w:tab w:val="center" w:pos="4153"/>
        <w:tab w:val="right" w:pos="8306"/>
      </w:tabs>
    </w:pPr>
  </w:style>
  <w:style w:type="character" w:customStyle="1" w:styleId="FuzeileZeichen">
    <w:name w:val="Fußzeile Zeichen"/>
    <w:basedOn w:val="Absatzstandardschriftart"/>
    <w:link w:val="Fuzeile"/>
    <w:uiPriority w:val="99"/>
    <w:rsid w:val="00CE3EDA"/>
    <w:rPr>
      <w:rFonts w:ascii="Arial" w:eastAsia="Times New Roman" w:hAnsi="Arial" w:cs="Arial"/>
      <w:color w:val="000000"/>
      <w:sz w:val="20"/>
      <w:szCs w:val="20"/>
      <w:lang w:val="en-GB" w:eastAsia="fr-FR"/>
    </w:rPr>
  </w:style>
  <w:style w:type="paragraph" w:customStyle="1" w:styleId="NormalDS">
    <w:name w:val="Normal DS"/>
    <w:basedOn w:val="Standard"/>
    <w:uiPriority w:val="99"/>
    <w:rsid w:val="00CE3EDA"/>
    <w:pPr>
      <w:overflowPunct/>
      <w:autoSpaceDE/>
      <w:autoSpaceDN/>
      <w:adjustRightInd/>
      <w:spacing w:after="260"/>
      <w:textAlignment w:val="auto"/>
    </w:pPr>
    <w:rPr>
      <w:lang w:val="en-US"/>
    </w:rPr>
  </w:style>
  <w:style w:type="paragraph" w:customStyle="1" w:styleId="Int3ATMText">
    <w:name w:val="Int3/ATM Text"/>
    <w:basedOn w:val="NormalDS"/>
    <w:uiPriority w:val="99"/>
    <w:rsid w:val="00CE3EDA"/>
    <w:rPr>
      <w:sz w:val="26"/>
      <w:szCs w:val="26"/>
    </w:rPr>
  </w:style>
  <w:style w:type="paragraph" w:customStyle="1" w:styleId="INT2aDateTitlePg">
    <w:name w:val="INT2a/Date_TitlePg"/>
    <w:basedOn w:val="Standard"/>
    <w:next w:val="NormalDS"/>
    <w:uiPriority w:val="99"/>
    <w:rsid w:val="00CE3EDA"/>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CE3EDA"/>
    <w:rPr>
      <w:rFonts w:ascii="Times New Roman" w:eastAsia="Times New Roman" w:hAnsi="Times New Roman" w:cs="Times New Roman"/>
      <w:sz w:val="20"/>
      <w:szCs w:val="20"/>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CE3EDA"/>
    <w:pPr>
      <w:numPr>
        <w:numId w:val="1"/>
      </w:numPr>
    </w:pPr>
  </w:style>
  <w:style w:type="paragraph" w:customStyle="1" w:styleId="NormalDS11pt">
    <w:name w:val="Normal DS + 11 pt"/>
    <w:aliases w:val="Before:  20 pt"/>
    <w:basedOn w:val="NormalDS"/>
    <w:uiPriority w:val="99"/>
    <w:rsid w:val="00CE3EDA"/>
    <w:rPr>
      <w:sz w:val="22"/>
      <w:szCs w:val="22"/>
    </w:rPr>
  </w:style>
  <w:style w:type="paragraph" w:styleId="Sprechblasentext">
    <w:name w:val="Balloon Text"/>
    <w:basedOn w:val="Standard"/>
    <w:link w:val="SprechblasentextZeichen"/>
    <w:uiPriority w:val="99"/>
    <w:semiHidden/>
    <w:rsid w:val="00CE3EDA"/>
    <w:rPr>
      <w:rFonts w:ascii="Times New Roman" w:hAnsi="Times New Roman" w:cs="Times New Roman"/>
      <w:sz w:val="16"/>
      <w:szCs w:val="16"/>
    </w:rPr>
  </w:style>
  <w:style w:type="character" w:customStyle="1" w:styleId="SprechblasentextZeichen">
    <w:name w:val="Sprechblasentext Zeichen"/>
    <w:basedOn w:val="Absatzstandardschriftart"/>
    <w:link w:val="Sprechblasentext"/>
    <w:uiPriority w:val="99"/>
    <w:semiHidden/>
    <w:rsid w:val="00CE3EDA"/>
    <w:rPr>
      <w:rFonts w:ascii="Times New Roman" w:eastAsia="Times New Roman" w:hAnsi="Times New Roman" w:cs="Times New Roman"/>
      <w:color w:val="000000"/>
      <w:sz w:val="16"/>
      <w:szCs w:val="16"/>
      <w:lang w:val="en-GB" w:eastAsia="fr-FR"/>
    </w:rPr>
  </w:style>
  <w:style w:type="character" w:styleId="Kommentarzeichen">
    <w:name w:val="annotation reference"/>
    <w:uiPriority w:val="99"/>
    <w:semiHidden/>
    <w:rsid w:val="00CE3EDA"/>
    <w:rPr>
      <w:rFonts w:cs="Times New Roman"/>
      <w:sz w:val="16"/>
    </w:rPr>
  </w:style>
  <w:style w:type="paragraph" w:styleId="Kommentartext">
    <w:name w:val="annotation text"/>
    <w:basedOn w:val="Standard"/>
    <w:link w:val="KommentartextZeichen"/>
    <w:uiPriority w:val="99"/>
    <w:semiHidden/>
    <w:rsid w:val="00CE3EDA"/>
  </w:style>
  <w:style w:type="character" w:customStyle="1" w:styleId="KommentartextZeichen">
    <w:name w:val="Kommentartext Zeichen"/>
    <w:basedOn w:val="Absatzstandardschriftart"/>
    <w:link w:val="Kommentartext"/>
    <w:uiPriority w:val="99"/>
    <w:semiHidden/>
    <w:rsid w:val="00CE3EDA"/>
    <w:rPr>
      <w:rFonts w:ascii="Arial" w:eastAsia="Times New Roman"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CE3EDA"/>
    <w:rPr>
      <w:b/>
      <w:bCs/>
    </w:rPr>
  </w:style>
  <w:style w:type="character" w:customStyle="1" w:styleId="KommentarthemaZeichen">
    <w:name w:val="Kommentarthema Zeichen"/>
    <w:basedOn w:val="KommentartextZeichen"/>
    <w:link w:val="Kommentarthema"/>
    <w:uiPriority w:val="99"/>
    <w:semiHidden/>
    <w:rsid w:val="00CE3EDA"/>
    <w:rPr>
      <w:b/>
      <w:bCs/>
    </w:rPr>
  </w:style>
  <w:style w:type="character" w:customStyle="1" w:styleId="Car">
    <w:name w:val="Car"/>
    <w:uiPriority w:val="99"/>
    <w:semiHidden/>
    <w:rsid w:val="00CE3EDA"/>
    <w:rPr>
      <w:rFonts w:ascii="Arial" w:hAnsi="Arial"/>
      <w:lang w:val="en-GB"/>
    </w:rPr>
  </w:style>
  <w:style w:type="character" w:styleId="Link">
    <w:name w:val="Hyperlink"/>
    <w:uiPriority w:val="99"/>
    <w:rsid w:val="00CE3EDA"/>
    <w:rPr>
      <w:rFonts w:cs="Times New Roman"/>
      <w:color w:val="0000FF"/>
      <w:u w:val="single"/>
    </w:rPr>
  </w:style>
  <w:style w:type="character" w:customStyle="1" w:styleId="NormalDSChar">
    <w:name w:val="Normal DS Char"/>
    <w:uiPriority w:val="99"/>
    <w:rsid w:val="00CE3EDA"/>
    <w:rPr>
      <w:rFonts w:ascii="Arial" w:hAnsi="Arial"/>
      <w:lang w:val="en-US"/>
    </w:rPr>
  </w:style>
  <w:style w:type="character" w:customStyle="1" w:styleId="tw4winMark">
    <w:name w:val="tw4winMark"/>
    <w:uiPriority w:val="99"/>
    <w:rsid w:val="00CE3EDA"/>
    <w:rPr>
      <w:rFonts w:ascii="Courier New" w:hAnsi="Courier New"/>
      <w:vanish/>
      <w:color w:val="800080"/>
      <w:sz w:val="24"/>
      <w:vertAlign w:val="subscript"/>
    </w:rPr>
  </w:style>
  <w:style w:type="character" w:styleId="GesichteterLink">
    <w:name w:val="FollowedHyperlink"/>
    <w:uiPriority w:val="99"/>
    <w:rsid w:val="00CE3EDA"/>
    <w:rPr>
      <w:rFonts w:cs="Times New Roman"/>
      <w:color w:val="606420"/>
      <w:u w:val="single"/>
    </w:rPr>
  </w:style>
  <w:style w:type="paragraph" w:styleId="StandardWeb">
    <w:name w:val="Normal (Web)"/>
    <w:basedOn w:val="Standard"/>
    <w:uiPriority w:val="99"/>
    <w:rsid w:val="00CE3EDA"/>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CE3EDA"/>
    <w:rPr>
      <w:color w:val="9F282A"/>
      <w:u w:val="single"/>
      <w:effect w:val="none"/>
    </w:rPr>
  </w:style>
  <w:style w:type="character" w:customStyle="1" w:styleId="Lienhypertexte63">
    <w:name w:val="Lien hypertexte63"/>
    <w:uiPriority w:val="99"/>
    <w:rsid w:val="00CE3EDA"/>
    <w:rPr>
      <w:color w:val="424242"/>
      <w:u w:val="none"/>
      <w:effect w:val="none"/>
    </w:rPr>
  </w:style>
  <w:style w:type="character" w:customStyle="1" w:styleId="Lienhypertexte75">
    <w:name w:val="Lien hypertexte75"/>
    <w:uiPriority w:val="99"/>
    <w:rsid w:val="00CE3EDA"/>
    <w:rPr>
      <w:color w:val="424242"/>
      <w:u w:val="none"/>
      <w:effect w:val="none"/>
    </w:rPr>
  </w:style>
  <w:style w:type="character" w:styleId="Herausstellen">
    <w:name w:val="Emphasis"/>
    <w:uiPriority w:val="99"/>
    <w:qFormat/>
    <w:rsid w:val="00CE3EDA"/>
    <w:rPr>
      <w:rFonts w:cs="Times New Roman"/>
      <w:i/>
    </w:rPr>
  </w:style>
  <w:style w:type="character" w:customStyle="1" w:styleId="tw4winError">
    <w:name w:val="tw4winError"/>
    <w:uiPriority w:val="99"/>
    <w:rsid w:val="00CE3EDA"/>
    <w:rPr>
      <w:rFonts w:ascii="Courier New" w:hAnsi="Courier New"/>
      <w:color w:val="00FF00"/>
      <w:sz w:val="40"/>
    </w:rPr>
  </w:style>
  <w:style w:type="character" w:customStyle="1" w:styleId="tw4winTerm">
    <w:name w:val="tw4winTerm"/>
    <w:uiPriority w:val="99"/>
    <w:rsid w:val="00CE3EDA"/>
    <w:rPr>
      <w:color w:val="0000FF"/>
    </w:rPr>
  </w:style>
  <w:style w:type="character" w:customStyle="1" w:styleId="tw4winPopup">
    <w:name w:val="tw4winPopup"/>
    <w:uiPriority w:val="99"/>
    <w:rsid w:val="00CE3EDA"/>
    <w:rPr>
      <w:rFonts w:ascii="Courier New" w:hAnsi="Courier New"/>
      <w:noProof/>
      <w:color w:val="008000"/>
    </w:rPr>
  </w:style>
  <w:style w:type="character" w:customStyle="1" w:styleId="tw4winJump">
    <w:name w:val="tw4winJump"/>
    <w:uiPriority w:val="99"/>
    <w:rsid w:val="00CE3EDA"/>
    <w:rPr>
      <w:rFonts w:ascii="Courier New" w:hAnsi="Courier New"/>
      <w:noProof/>
      <w:color w:val="008080"/>
    </w:rPr>
  </w:style>
  <w:style w:type="character" w:customStyle="1" w:styleId="tw4winExternal">
    <w:name w:val="tw4winExternal"/>
    <w:uiPriority w:val="99"/>
    <w:rsid w:val="00CE3EDA"/>
    <w:rPr>
      <w:rFonts w:ascii="Courier New" w:hAnsi="Courier New"/>
      <w:noProof/>
      <w:color w:val="808080"/>
    </w:rPr>
  </w:style>
  <w:style w:type="character" w:customStyle="1" w:styleId="tw4winInternal">
    <w:name w:val="tw4winInternal"/>
    <w:uiPriority w:val="99"/>
    <w:rsid w:val="00CE3EDA"/>
    <w:rPr>
      <w:rFonts w:ascii="Courier New" w:hAnsi="Courier New"/>
      <w:noProof/>
      <w:color w:val="FF0000"/>
    </w:rPr>
  </w:style>
  <w:style w:type="character" w:customStyle="1" w:styleId="DONOTTRANSLATE">
    <w:name w:val="DO_NOT_TRANSLATE"/>
    <w:uiPriority w:val="99"/>
    <w:rsid w:val="00CE3EDA"/>
    <w:rPr>
      <w:rFonts w:ascii="Courier New" w:hAnsi="Courier New"/>
      <w:noProof/>
      <w:color w:val="800000"/>
    </w:rPr>
  </w:style>
  <w:style w:type="paragraph" w:styleId="Textkrper">
    <w:name w:val="Body Text"/>
    <w:basedOn w:val="Standard"/>
    <w:link w:val="TextkrperZeichen"/>
    <w:uiPriority w:val="99"/>
    <w:rsid w:val="00CE3EDA"/>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basedOn w:val="Absatzstandardschriftart"/>
    <w:link w:val="Textkrper"/>
    <w:uiPriority w:val="99"/>
    <w:rsid w:val="00CE3EDA"/>
    <w:rPr>
      <w:rFonts w:ascii="Times New Roman" w:eastAsia="Times New Roman" w:hAnsi="Times New Roman" w:cs="Times New Roman"/>
      <w:color w:val="000080"/>
      <w:szCs w:val="20"/>
      <w:lang w:eastAsia="de-DE"/>
    </w:rPr>
  </w:style>
  <w:style w:type="paragraph" w:customStyle="1" w:styleId="kenyrtompa">
    <w:name w:val="kenyér tompa"/>
    <w:basedOn w:val="Standard"/>
    <w:uiPriority w:val="99"/>
    <w:rsid w:val="00CE3EDA"/>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CE3EDA"/>
    <w:pPr>
      <w:numPr>
        <w:ilvl w:val="1"/>
        <w:numId w:val="20"/>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CE3EDA"/>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CE3EDA"/>
    <w:pPr>
      <w:spacing w:after="120" w:line="480" w:lineRule="auto"/>
    </w:pPr>
    <w:rPr>
      <w:rFonts w:cs="Times New Roman"/>
    </w:rPr>
  </w:style>
  <w:style w:type="character" w:customStyle="1" w:styleId="Textkrper2Zeichen">
    <w:name w:val="Textkörper 2 Zeichen"/>
    <w:basedOn w:val="Absatzstandardschriftart"/>
    <w:link w:val="Textkrper2"/>
    <w:uiPriority w:val="99"/>
    <w:rsid w:val="00CE3EDA"/>
    <w:rPr>
      <w:rFonts w:ascii="Arial" w:eastAsia="Times New Roman" w:hAnsi="Arial" w:cs="Times New Roman"/>
      <w:color w:val="000000"/>
      <w:sz w:val="20"/>
      <w:szCs w:val="20"/>
      <w:lang w:val="en-GB" w:eastAsia="fr-FR"/>
    </w:rPr>
  </w:style>
  <w:style w:type="paragraph" w:styleId="Dokumentstruktur">
    <w:name w:val="Document Map"/>
    <w:basedOn w:val="Standard"/>
    <w:link w:val="DokumentstrukturZeichen"/>
    <w:uiPriority w:val="99"/>
    <w:semiHidden/>
    <w:rsid w:val="00CE3EDA"/>
    <w:pPr>
      <w:shd w:val="clear" w:color="auto" w:fill="000080"/>
    </w:pPr>
    <w:rPr>
      <w:rFonts w:ascii="Tahoma" w:hAnsi="Tahoma" w:cs="Tahoma"/>
    </w:rPr>
  </w:style>
  <w:style w:type="character" w:customStyle="1" w:styleId="DokumentstrukturZeichen">
    <w:name w:val="Dokumentstruktur Zeichen"/>
    <w:basedOn w:val="Absatzstandardschriftart"/>
    <w:link w:val="Dokumentstruktur"/>
    <w:uiPriority w:val="99"/>
    <w:semiHidden/>
    <w:rsid w:val="00CE3EDA"/>
    <w:rPr>
      <w:rFonts w:ascii="Tahoma" w:eastAsia="Times New Roman" w:hAnsi="Tahoma" w:cs="Tahoma"/>
      <w:color w:val="000000"/>
      <w:sz w:val="20"/>
      <w:szCs w:val="20"/>
      <w:shd w:val="clear" w:color="auto" w:fill="000080"/>
      <w:lang w:val="en-GB" w:eastAsia="fr-FR"/>
    </w:rPr>
  </w:style>
  <w:style w:type="paragraph" w:customStyle="1" w:styleId="AonBodyCopy">
    <w:name w:val="Aon Body Copy"/>
    <w:basedOn w:val="Standard"/>
    <w:uiPriority w:val="99"/>
    <w:rsid w:val="00CE3EDA"/>
    <w:pPr>
      <w:overflowPunct/>
      <w:autoSpaceDE/>
      <w:autoSpaceDN/>
      <w:adjustRightInd/>
      <w:spacing w:after="240" w:line="264" w:lineRule="auto"/>
      <w:textAlignment w:val="auto"/>
    </w:pPr>
    <w:rPr>
      <w:rFonts w:eastAsia="MS Mincho"/>
      <w:color w:val="auto"/>
      <w:lang w:val="en-US" w:eastAsia="en-U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manutd.com/default.sps?pagegid=%7b78F24B85-702C-4DC8-A5D4-2F67252C28AA%7d&amp;itype=12977&amp;pagebuildpageid=2716&amp;bg=1"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pressegermany@aonhewitt.com" TargetMode="External"/><Relationship Id="rId6" Type="http://schemas.openxmlformats.org/officeDocument/2006/relationships/hyperlink" Target="http://www.europeanclub-hr.eu/" TargetMode="External"/><Relationship Id="rId7" Type="http://schemas.openxmlformats.org/officeDocument/2006/relationships/hyperlink" Target="mailto:paola.bregolisse@aonhewitt.com" TargetMode="External"/><Relationship Id="rId8" Type="http://schemas.openxmlformats.org/officeDocument/2006/relationships/hyperlink" Target="http://www.aonhewitt.ch" TargetMode="External"/><Relationship Id="rId9" Type="http://schemas.openxmlformats.org/officeDocument/2006/relationships/hyperlink" Target="http://www.aon.com" TargetMode="External"/><Relationship Id="rId10" Type="http://schemas.openxmlformats.org/officeDocument/2006/relationships/hyperlink" Target="http://www.aon.com/manchesterunite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1368</Words>
  <Characters>7802</Characters>
  <Application>Microsoft Macintosh Word</Application>
  <DocSecurity>0</DocSecurity>
  <Lines>65</Lines>
  <Paragraphs>15</Paragraphs>
  <ScaleCrop>false</ScaleCrop>
  <Company>Press'n'Relations </Company>
  <LinksUpToDate>false</LinksUpToDate>
  <CharactersWithSpaces>9581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8</cp:revision>
  <dcterms:created xsi:type="dcterms:W3CDTF">2013-04-17T08:33:00Z</dcterms:created>
  <dcterms:modified xsi:type="dcterms:W3CDTF">2013-04-19T16:10:00Z</dcterms:modified>
</cp:coreProperties>
</file>