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0D7E" w:rsidRPr="00564323" w:rsidRDefault="00A20D7E" w:rsidP="00A20D7E">
      <w:pPr>
        <w:widowControl w:val="0"/>
        <w:spacing w:line="312" w:lineRule="auto"/>
        <w:ind w:right="-1"/>
        <w:rPr>
          <w:bCs/>
          <w:noProof/>
          <w:sz w:val="22"/>
          <w:szCs w:val="22"/>
          <w:lang w:val="de-DE"/>
        </w:rPr>
      </w:pPr>
      <w:r>
        <w:rPr>
          <w:bCs/>
          <w:noProof/>
          <w:sz w:val="22"/>
          <w:szCs w:val="22"/>
          <w:lang w:val="de-DE"/>
        </w:rPr>
        <w:t xml:space="preserve">München, </w:t>
      </w:r>
      <w:r w:rsidR="00825F99">
        <w:rPr>
          <w:bCs/>
          <w:noProof/>
          <w:sz w:val="22"/>
          <w:szCs w:val="22"/>
          <w:lang w:val="de-DE"/>
        </w:rPr>
        <w:t>10</w:t>
      </w:r>
      <w:r w:rsidR="002524DF">
        <w:rPr>
          <w:bCs/>
          <w:noProof/>
          <w:sz w:val="22"/>
          <w:szCs w:val="22"/>
          <w:lang w:val="de-DE"/>
        </w:rPr>
        <w:t>.</w:t>
      </w:r>
      <w:r>
        <w:rPr>
          <w:bCs/>
          <w:noProof/>
          <w:sz w:val="22"/>
          <w:szCs w:val="22"/>
          <w:lang w:val="de-DE"/>
        </w:rPr>
        <w:t xml:space="preserve"> September 2013 </w:t>
      </w:r>
    </w:p>
    <w:p w:rsidR="00A20D7E" w:rsidRPr="00564323" w:rsidRDefault="00A20D7E" w:rsidP="00A20D7E">
      <w:pPr>
        <w:widowControl w:val="0"/>
        <w:spacing w:line="312" w:lineRule="auto"/>
        <w:ind w:right="-1"/>
        <w:rPr>
          <w:noProof/>
          <w:sz w:val="16"/>
          <w:szCs w:val="16"/>
          <w:lang w:val="de-DE"/>
        </w:rPr>
      </w:pPr>
    </w:p>
    <w:p w:rsidR="00A20D7E" w:rsidRPr="008309B3" w:rsidRDefault="00A20D7E" w:rsidP="00A20D7E">
      <w:pPr>
        <w:widowControl w:val="0"/>
        <w:overflowPunct/>
        <w:spacing w:line="312" w:lineRule="auto"/>
        <w:ind w:right="1416"/>
        <w:textAlignment w:val="auto"/>
        <w:rPr>
          <w:b/>
          <w:bCs/>
          <w:color w:val="auto"/>
          <w:sz w:val="28"/>
          <w:szCs w:val="22"/>
          <w:lang w:val="de-DE" w:eastAsia="en-GB"/>
        </w:rPr>
      </w:pPr>
      <w:r>
        <w:rPr>
          <w:b/>
          <w:bCs/>
          <w:color w:val="auto"/>
          <w:sz w:val="28"/>
          <w:szCs w:val="28"/>
          <w:lang w:val="de-DE" w:eastAsia="en-GB"/>
        </w:rPr>
        <w:t>Drei Prozent mehr Lohn im nächsten Jahr</w:t>
      </w:r>
    </w:p>
    <w:p w:rsidR="00A20D7E" w:rsidRDefault="00A20D7E" w:rsidP="00A20D7E">
      <w:pPr>
        <w:widowControl w:val="0"/>
        <w:overflowPunct/>
        <w:spacing w:line="312" w:lineRule="auto"/>
        <w:ind w:right="1416"/>
        <w:textAlignment w:val="auto"/>
        <w:rPr>
          <w:bCs/>
          <w:color w:val="auto"/>
          <w:sz w:val="22"/>
          <w:szCs w:val="28"/>
          <w:lang w:val="de-DE" w:eastAsia="en-GB"/>
        </w:rPr>
      </w:pPr>
      <w:r>
        <w:rPr>
          <w:bCs/>
          <w:color w:val="auto"/>
          <w:sz w:val="22"/>
          <w:szCs w:val="28"/>
          <w:lang w:val="de-DE" w:eastAsia="en-GB"/>
        </w:rPr>
        <w:t>Studie zur</w:t>
      </w:r>
      <w:r w:rsidRPr="008309B3">
        <w:rPr>
          <w:bCs/>
          <w:color w:val="auto"/>
          <w:sz w:val="22"/>
          <w:szCs w:val="28"/>
          <w:lang w:val="de-DE" w:eastAsia="en-GB"/>
        </w:rPr>
        <w:t xml:space="preserve"> Gehaltsentwicklung</w:t>
      </w:r>
      <w:r>
        <w:rPr>
          <w:bCs/>
          <w:color w:val="auto"/>
          <w:sz w:val="22"/>
          <w:szCs w:val="28"/>
          <w:lang w:val="de-DE" w:eastAsia="en-GB"/>
        </w:rPr>
        <w:t xml:space="preserve"> von Aon Hewitt</w:t>
      </w:r>
      <w:r w:rsidRPr="008309B3">
        <w:rPr>
          <w:bCs/>
          <w:color w:val="auto"/>
          <w:sz w:val="22"/>
          <w:szCs w:val="28"/>
          <w:lang w:val="de-DE" w:eastAsia="en-GB"/>
        </w:rPr>
        <w:t xml:space="preserve"> zeigt</w:t>
      </w:r>
      <w:r>
        <w:rPr>
          <w:bCs/>
          <w:color w:val="auto"/>
          <w:sz w:val="22"/>
          <w:szCs w:val="28"/>
          <w:lang w:val="de-DE" w:eastAsia="en-GB"/>
        </w:rPr>
        <w:t xml:space="preserve"> Optimismus bei gleichzeitig steigender Leistungsorientierung auf</w:t>
      </w:r>
    </w:p>
    <w:p w:rsidR="00A20D7E" w:rsidRPr="003E210D" w:rsidRDefault="00A20D7E" w:rsidP="00A20D7E">
      <w:pPr>
        <w:widowControl w:val="0"/>
        <w:overflowPunct/>
        <w:spacing w:line="312" w:lineRule="auto"/>
        <w:ind w:right="1416"/>
        <w:textAlignment w:val="auto"/>
        <w:rPr>
          <w:color w:val="FF0000"/>
          <w:lang w:val="de-DE" w:eastAsia="en-GB"/>
        </w:rPr>
      </w:pPr>
    </w:p>
    <w:p w:rsidR="00A20D7E" w:rsidRPr="000638F6" w:rsidRDefault="00A20D7E" w:rsidP="00A20D7E">
      <w:pPr>
        <w:widowControl w:val="0"/>
        <w:overflowPunct/>
        <w:spacing w:line="312" w:lineRule="auto"/>
        <w:ind w:right="1416"/>
        <w:textAlignment w:val="auto"/>
        <w:rPr>
          <w:b/>
          <w:color w:val="auto"/>
          <w:lang w:val="de-DE" w:eastAsia="en-GB"/>
        </w:rPr>
      </w:pPr>
      <w:r>
        <w:rPr>
          <w:b/>
          <w:color w:val="auto"/>
          <w:lang w:val="de-DE" w:eastAsia="en-GB"/>
        </w:rPr>
        <w:t>In Deutschland sollen</w:t>
      </w:r>
      <w:r w:rsidRPr="008309B3">
        <w:rPr>
          <w:b/>
          <w:color w:val="auto"/>
          <w:lang w:val="de-DE" w:eastAsia="en-GB"/>
        </w:rPr>
        <w:t xml:space="preserve"> 2014</w:t>
      </w:r>
      <w:r>
        <w:rPr>
          <w:b/>
          <w:color w:val="auto"/>
          <w:lang w:val="de-DE" w:eastAsia="en-GB"/>
        </w:rPr>
        <w:t xml:space="preserve"> die</w:t>
      </w:r>
      <w:r w:rsidRPr="008309B3">
        <w:rPr>
          <w:b/>
          <w:color w:val="auto"/>
          <w:lang w:val="de-DE" w:eastAsia="en-GB"/>
        </w:rPr>
        <w:t xml:space="preserve"> </w:t>
      </w:r>
      <w:r>
        <w:rPr>
          <w:b/>
          <w:color w:val="auto"/>
          <w:lang w:val="de-DE" w:eastAsia="en-GB"/>
        </w:rPr>
        <w:t xml:space="preserve">Löhne und Gehälter </w:t>
      </w:r>
      <w:r w:rsidRPr="008309B3">
        <w:rPr>
          <w:b/>
          <w:color w:val="auto"/>
          <w:lang w:val="de-DE" w:eastAsia="en-GB"/>
        </w:rPr>
        <w:t>im Schnitt um 3,0 Prozent steigen.</w:t>
      </w:r>
      <w:r w:rsidRPr="003E210D">
        <w:rPr>
          <w:b/>
          <w:color w:val="FF0000"/>
          <w:lang w:val="de-DE" w:eastAsia="en-GB"/>
        </w:rPr>
        <w:t xml:space="preserve"> </w:t>
      </w:r>
      <w:r w:rsidRPr="008309B3">
        <w:rPr>
          <w:b/>
          <w:color w:val="auto"/>
          <w:lang w:val="de-DE" w:eastAsia="en-GB"/>
        </w:rPr>
        <w:t>Das zeigen die Ergebnisse der Studie „Sal</w:t>
      </w:r>
      <w:r>
        <w:rPr>
          <w:b/>
          <w:color w:val="auto"/>
          <w:lang w:val="de-DE" w:eastAsia="en-GB"/>
        </w:rPr>
        <w:t>ary Increase Survey 20</w:t>
      </w:r>
      <w:r w:rsidRPr="00AD50E4">
        <w:rPr>
          <w:b/>
          <w:color w:val="auto"/>
          <w:lang w:val="de-DE" w:eastAsia="en-GB"/>
        </w:rPr>
        <w:t>13-</w:t>
      </w:r>
      <w:r>
        <w:rPr>
          <w:b/>
          <w:color w:val="auto"/>
          <w:lang w:val="de-DE" w:eastAsia="en-GB"/>
        </w:rPr>
        <w:t>2014“ von Aon Hewitt</w:t>
      </w:r>
      <w:r w:rsidRPr="005D18BB">
        <w:rPr>
          <w:b/>
          <w:color w:val="auto"/>
          <w:lang w:val="de-DE" w:eastAsia="en-GB"/>
        </w:rPr>
        <w:t>, an der</w:t>
      </w:r>
      <w:r>
        <w:rPr>
          <w:b/>
          <w:color w:val="auto"/>
          <w:lang w:val="de-DE" w:eastAsia="en-GB"/>
        </w:rPr>
        <w:t xml:space="preserve"> über 250</w:t>
      </w:r>
      <w:r w:rsidRPr="005D18BB">
        <w:rPr>
          <w:b/>
          <w:color w:val="auto"/>
          <w:lang w:val="de-DE" w:eastAsia="en-GB"/>
        </w:rPr>
        <w:t xml:space="preserve"> Unternehmen</w:t>
      </w:r>
      <w:r w:rsidRPr="008309B3">
        <w:rPr>
          <w:b/>
          <w:color w:val="auto"/>
          <w:lang w:val="de-DE" w:eastAsia="en-GB"/>
        </w:rPr>
        <w:t xml:space="preserve"> aller Branchen und Größen </w:t>
      </w:r>
      <w:r>
        <w:rPr>
          <w:b/>
          <w:color w:val="auto"/>
          <w:lang w:val="de-DE" w:eastAsia="en-GB"/>
        </w:rPr>
        <w:t xml:space="preserve">in Deutschland </w:t>
      </w:r>
      <w:r w:rsidRPr="008309B3">
        <w:rPr>
          <w:b/>
          <w:color w:val="auto"/>
          <w:lang w:val="de-DE" w:eastAsia="en-GB"/>
        </w:rPr>
        <w:t>teilgenommen haben.</w:t>
      </w:r>
      <w:r>
        <w:rPr>
          <w:b/>
          <w:color w:val="auto"/>
          <w:lang w:val="de-DE" w:eastAsia="en-GB"/>
        </w:rPr>
        <w:t xml:space="preserve"> Damit wird es im nächsten Jahr auf gleichbleibend hohem Niveau über alle Berufsgruppen und Branchen Erhöhungen geben, betrugen </w:t>
      </w:r>
      <w:r w:rsidRPr="000638F6">
        <w:rPr>
          <w:b/>
          <w:color w:val="auto"/>
          <w:lang w:val="de-DE" w:eastAsia="en-GB"/>
        </w:rPr>
        <w:t xml:space="preserve">doch die realisierten Steigerungen im Jahr 2013 ebenfalls rund </w:t>
      </w:r>
      <w:r>
        <w:rPr>
          <w:b/>
          <w:color w:val="auto"/>
          <w:lang w:val="de-DE" w:eastAsia="en-GB"/>
        </w:rPr>
        <w:t>3</w:t>
      </w:r>
      <w:r w:rsidRPr="000638F6">
        <w:rPr>
          <w:b/>
          <w:color w:val="auto"/>
          <w:lang w:val="de-DE" w:eastAsia="en-GB"/>
        </w:rPr>
        <w:t xml:space="preserve"> Prozent. „Die </w:t>
      </w:r>
      <w:r>
        <w:rPr>
          <w:b/>
          <w:color w:val="auto"/>
          <w:lang w:val="de-DE" w:eastAsia="en-GB"/>
        </w:rPr>
        <w:t>Unternehmen scheinen</w:t>
      </w:r>
      <w:r w:rsidRPr="000638F6">
        <w:rPr>
          <w:b/>
          <w:color w:val="auto"/>
          <w:lang w:val="de-DE" w:eastAsia="en-GB"/>
        </w:rPr>
        <w:t xml:space="preserve"> mit</w:t>
      </w:r>
      <w:r>
        <w:rPr>
          <w:b/>
          <w:color w:val="auto"/>
          <w:lang w:val="de-DE" w:eastAsia="en-GB"/>
        </w:rPr>
        <w:t xml:space="preserve"> gleichbleibender</w:t>
      </w:r>
      <w:r w:rsidRPr="000638F6">
        <w:rPr>
          <w:b/>
          <w:color w:val="auto"/>
          <w:lang w:val="de-DE" w:eastAsia="en-GB"/>
        </w:rPr>
        <w:t xml:space="preserve"> Zuversicht auf das kommende Jahr zu blicken, obwohl das deutsche Wirtschaftswachstum für das kommende Jahr auf </w:t>
      </w:r>
      <w:r>
        <w:rPr>
          <w:b/>
          <w:color w:val="auto"/>
          <w:lang w:val="de-DE" w:eastAsia="en-GB"/>
        </w:rPr>
        <w:t>nur 1,1 Prozent geschätzt wird“</w:t>
      </w:r>
      <w:r w:rsidRPr="000638F6">
        <w:rPr>
          <w:b/>
          <w:color w:val="auto"/>
          <w:lang w:val="de-DE" w:eastAsia="en-GB"/>
        </w:rPr>
        <w:t>, so Marco Reiners, Leiter des Bereiches Performance</w:t>
      </w:r>
      <w:r>
        <w:rPr>
          <w:b/>
          <w:color w:val="auto"/>
          <w:lang w:val="de-DE" w:eastAsia="en-GB"/>
        </w:rPr>
        <w:t xml:space="preserve"> &amp;</w:t>
      </w:r>
      <w:r w:rsidRPr="000638F6">
        <w:rPr>
          <w:b/>
          <w:color w:val="auto"/>
          <w:lang w:val="de-DE" w:eastAsia="en-GB"/>
        </w:rPr>
        <w:t xml:space="preserve"> Reward DACH</w:t>
      </w:r>
      <w:r>
        <w:rPr>
          <w:b/>
          <w:color w:val="auto"/>
          <w:lang w:val="de-DE" w:eastAsia="en-GB"/>
        </w:rPr>
        <w:t>,</w:t>
      </w:r>
      <w:r w:rsidRPr="000638F6">
        <w:rPr>
          <w:b/>
          <w:color w:val="auto"/>
          <w:lang w:val="de-DE" w:eastAsia="en-GB"/>
        </w:rPr>
        <w:t xml:space="preserve"> bei Aon Hewitt. Die für 2014 geschätzte Inflation von 1,6 Prozent eingerechnet, ergibt sich </w:t>
      </w:r>
      <w:r>
        <w:rPr>
          <w:b/>
          <w:color w:val="auto"/>
          <w:lang w:val="de-DE" w:eastAsia="en-GB"/>
        </w:rPr>
        <w:t xml:space="preserve">im Schnitt </w:t>
      </w:r>
      <w:r w:rsidRPr="000638F6">
        <w:rPr>
          <w:b/>
          <w:color w:val="auto"/>
          <w:lang w:val="de-DE" w:eastAsia="en-GB"/>
        </w:rPr>
        <w:t xml:space="preserve">eine durchschnittliche Reallohnerhöhung von 1,4 Prozent. </w:t>
      </w:r>
      <w:r>
        <w:rPr>
          <w:b/>
          <w:color w:val="auto"/>
          <w:lang w:val="de-DE" w:eastAsia="en-GB"/>
        </w:rPr>
        <w:t>Die Lohnerhöhungen bewegen sich in den meisten Branchen rund um diesen Mittelwert. Mit 2,5 respektive 2,6 Prozent schneiden die Energiebranche und der Bereich Hotellerie, Gastronomie und Verkehr am niedrigsten ab. Obenauf liegen Mitarbeiter der pharmazeutischen Industrie: Sie dürfen laut der Studie im nächsten Jahr bis zu 4,0 Prozent mehr Lohn erwarten.</w:t>
      </w:r>
    </w:p>
    <w:p w:rsidR="00A20D7E" w:rsidRPr="002B76FB" w:rsidRDefault="00A20D7E" w:rsidP="00A20D7E">
      <w:pPr>
        <w:rPr>
          <w:color w:val="auto"/>
          <w:lang w:val="de-DE"/>
        </w:rPr>
      </w:pPr>
    </w:p>
    <w:p w:rsidR="00A20D7E" w:rsidRDefault="00A20D7E" w:rsidP="00A20D7E">
      <w:pPr>
        <w:widowControl w:val="0"/>
        <w:overflowPunct/>
        <w:spacing w:line="312" w:lineRule="auto"/>
        <w:ind w:right="1416"/>
        <w:textAlignment w:val="auto"/>
        <w:rPr>
          <w:color w:val="auto"/>
          <w:lang w:val="de-DE" w:eastAsia="en-GB"/>
        </w:rPr>
      </w:pPr>
      <w:r w:rsidRPr="000638F6">
        <w:rPr>
          <w:color w:val="auto"/>
          <w:lang w:val="de-DE" w:eastAsia="en-GB"/>
        </w:rPr>
        <w:t>„Verglichen mit</w:t>
      </w:r>
      <w:r>
        <w:rPr>
          <w:color w:val="auto"/>
          <w:lang w:val="de-DE" w:eastAsia="en-GB"/>
        </w:rPr>
        <w:t xml:space="preserve"> der</w:t>
      </w:r>
      <w:r w:rsidRPr="000638F6">
        <w:rPr>
          <w:color w:val="auto"/>
          <w:lang w:val="de-DE" w:eastAsia="en-GB"/>
        </w:rPr>
        <w:t xml:space="preserve"> wirtschaftlichen Lage sind die Budgets für die geplanten Erhöhungen auch in diesem Jahr hoch. </w:t>
      </w:r>
      <w:r>
        <w:rPr>
          <w:color w:val="auto"/>
          <w:lang w:val="de-DE" w:eastAsia="en-GB"/>
        </w:rPr>
        <w:t>Wie in den letzten beiden Jahren sind Unternehmen auch für 2014 bereit, Löhne und Gehälter über die Teuerung hinaus aufzustocken“, kommentiert Reiners. Dabei sollen die</w:t>
      </w:r>
      <w:r w:rsidRPr="000638F6">
        <w:rPr>
          <w:color w:val="auto"/>
          <w:lang w:val="de-DE" w:eastAsia="en-GB"/>
        </w:rPr>
        <w:t xml:space="preserve"> leistungs</w:t>
      </w:r>
      <w:r>
        <w:rPr>
          <w:color w:val="auto"/>
          <w:lang w:val="de-DE" w:eastAsia="en-GB"/>
        </w:rPr>
        <w:t>abhängigen</w:t>
      </w:r>
      <w:r w:rsidRPr="000638F6">
        <w:rPr>
          <w:color w:val="auto"/>
          <w:lang w:val="de-DE" w:eastAsia="en-GB"/>
        </w:rPr>
        <w:t xml:space="preserve"> Budgets über alle Mitarbeitergruppen hin gerechnet erneut um 2,7 Prozent wachsen. </w:t>
      </w:r>
      <w:r>
        <w:rPr>
          <w:color w:val="auto"/>
          <w:lang w:val="de-DE" w:eastAsia="en-GB"/>
        </w:rPr>
        <w:t>„</w:t>
      </w:r>
      <w:r w:rsidRPr="000638F6">
        <w:rPr>
          <w:color w:val="auto"/>
          <w:lang w:val="de-DE" w:eastAsia="en-GB"/>
        </w:rPr>
        <w:t>Seit drei Jahren zeigt der Trend deutlich na</w:t>
      </w:r>
      <w:r>
        <w:rPr>
          <w:color w:val="auto"/>
          <w:lang w:val="de-DE" w:eastAsia="en-GB"/>
        </w:rPr>
        <w:t>ch oben“, so Reiners,</w:t>
      </w:r>
      <w:r w:rsidRPr="000638F6">
        <w:rPr>
          <w:color w:val="auto"/>
          <w:lang w:val="de-DE" w:eastAsia="en-GB"/>
        </w:rPr>
        <w:t xml:space="preserve"> „Leistung zahlt sich </w:t>
      </w:r>
      <w:r>
        <w:rPr>
          <w:color w:val="auto"/>
          <w:lang w:val="de-DE" w:eastAsia="en-GB"/>
        </w:rPr>
        <w:t xml:space="preserve">weiterhin aus – sowohl </w:t>
      </w:r>
      <w:r w:rsidRPr="000638F6">
        <w:rPr>
          <w:color w:val="auto"/>
          <w:lang w:val="de-DE" w:eastAsia="en-GB"/>
        </w:rPr>
        <w:t xml:space="preserve">für Arbeiter </w:t>
      </w:r>
      <w:r>
        <w:rPr>
          <w:color w:val="auto"/>
          <w:lang w:val="de-DE" w:eastAsia="en-GB"/>
        </w:rPr>
        <w:t>als auch fürs Management.“</w:t>
      </w:r>
      <w:r w:rsidRPr="00837B9E">
        <w:rPr>
          <w:color w:val="auto"/>
          <w:lang w:val="de-DE" w:eastAsia="en-GB"/>
        </w:rPr>
        <w:t xml:space="preserve"> </w:t>
      </w:r>
      <w:r>
        <w:rPr>
          <w:color w:val="auto"/>
          <w:lang w:val="de-DE" w:eastAsia="en-GB"/>
        </w:rPr>
        <w:t xml:space="preserve">Nullrunden planen lediglich 2,9% der Unternehmen. </w:t>
      </w:r>
    </w:p>
    <w:p w:rsidR="00A20D7E" w:rsidRPr="000638F6" w:rsidRDefault="00A20D7E" w:rsidP="00A20D7E">
      <w:pPr>
        <w:widowControl w:val="0"/>
        <w:overflowPunct/>
        <w:spacing w:line="312" w:lineRule="auto"/>
        <w:ind w:right="1416"/>
        <w:textAlignment w:val="auto"/>
        <w:rPr>
          <w:color w:val="auto"/>
          <w:lang w:val="de-DE" w:eastAsia="en-GB"/>
        </w:rPr>
      </w:pPr>
    </w:p>
    <w:p w:rsidR="00A20D7E" w:rsidRPr="000638F6" w:rsidRDefault="00A20D7E" w:rsidP="00A20D7E">
      <w:pPr>
        <w:widowControl w:val="0"/>
        <w:overflowPunct/>
        <w:spacing w:line="312" w:lineRule="auto"/>
        <w:ind w:right="1416"/>
        <w:textAlignment w:val="auto"/>
        <w:rPr>
          <w:b/>
          <w:color w:val="auto"/>
          <w:lang w:val="de-DE" w:eastAsia="en-GB"/>
        </w:rPr>
      </w:pPr>
      <w:r w:rsidRPr="00837B9E">
        <w:rPr>
          <w:b/>
          <w:color w:val="auto"/>
          <w:lang w:val="de-DE" w:eastAsia="en-GB"/>
        </w:rPr>
        <w:t>Leistung wichtiger als Alter</w:t>
      </w:r>
    </w:p>
    <w:p w:rsidR="00905647" w:rsidRDefault="00A20D7E" w:rsidP="00A20D7E">
      <w:pPr>
        <w:widowControl w:val="0"/>
        <w:overflowPunct/>
        <w:spacing w:line="312" w:lineRule="auto"/>
        <w:ind w:right="1416"/>
        <w:textAlignment w:val="auto"/>
        <w:rPr>
          <w:color w:val="auto"/>
          <w:lang w:val="de-DE" w:eastAsia="en-GB"/>
        </w:rPr>
      </w:pPr>
      <w:r w:rsidRPr="00A20D7E">
        <w:rPr>
          <w:color w:val="auto"/>
          <w:lang w:val="de-DE" w:eastAsia="en-GB"/>
        </w:rPr>
        <w:t>Leistung und Potenzial eines Mitarbeiters stehen an der Spitze der Rangliste der Einflussfaktoren auf Lohnentscheide: 96 Prozent der Unternehmen gaben diese als maßgebende Ent</w:t>
      </w:r>
      <w:r w:rsidR="001B6F5C">
        <w:rPr>
          <w:color w:val="auto"/>
          <w:lang w:val="de-DE" w:eastAsia="en-GB"/>
        </w:rPr>
        <w:t>scheidungsfaktoren an. Als zweit</w:t>
      </w:r>
      <w:r w:rsidRPr="00A20D7E">
        <w:rPr>
          <w:color w:val="auto"/>
          <w:lang w:val="de-DE" w:eastAsia="en-GB"/>
        </w:rPr>
        <w:t xml:space="preserve">wichtigster Faktor wird – nicht überraschend – </w:t>
      </w:r>
      <w:r w:rsidRPr="007D6B23">
        <w:rPr>
          <w:color w:val="auto"/>
          <w:lang w:val="de-DE" w:eastAsia="en-GB"/>
        </w:rPr>
        <w:t>die individuelle Pos</w:t>
      </w:r>
      <w:r w:rsidR="001B6F5C" w:rsidRPr="007D6B23">
        <w:rPr>
          <w:color w:val="auto"/>
          <w:lang w:val="de-DE" w:eastAsia="en-GB"/>
        </w:rPr>
        <w:t>ition zum Markt berücksichtigt (</w:t>
      </w:r>
      <w:proofErr w:type="gramStart"/>
      <w:r w:rsidR="001B6F5C" w:rsidRPr="007D6B23">
        <w:rPr>
          <w:color w:val="auto"/>
          <w:lang w:val="de-DE" w:eastAsia="en-GB"/>
        </w:rPr>
        <w:t>74 Prozent</w:t>
      </w:r>
      <w:proofErr w:type="gramEnd"/>
      <w:r w:rsidR="001B6F5C" w:rsidRPr="007D6B23">
        <w:rPr>
          <w:color w:val="auto"/>
          <w:lang w:val="de-DE" w:eastAsia="en-GB"/>
        </w:rPr>
        <w:t xml:space="preserve">). </w:t>
      </w:r>
      <w:r w:rsidRPr="007D6B23">
        <w:rPr>
          <w:color w:val="auto"/>
          <w:lang w:val="de-DE" w:eastAsia="en-GB"/>
        </w:rPr>
        <w:t>Interne Fairness wird immerhin noch von 72 Prozent als wichtiges Element bei der Verteilung der Budgets genannt. Die Seniorität hingegen scheint immer unbedeutender zu werden. Nur noch 27 Prozent nehmen darauf bei</w:t>
      </w:r>
      <w:r w:rsidRPr="00A20D7E">
        <w:rPr>
          <w:color w:val="auto"/>
          <w:lang w:val="de-DE" w:eastAsia="en-GB"/>
        </w:rPr>
        <w:t xml:space="preserve"> Lohnentscheiden Rücksicht. „Die</w:t>
      </w:r>
      <w:r w:rsidRPr="00837B9E">
        <w:rPr>
          <w:color w:val="auto"/>
          <w:lang w:val="de-DE" w:eastAsia="en-GB"/>
        </w:rPr>
        <w:t xml:space="preserve"> Leistungsorientierung unserer Gesellschaft </w:t>
      </w:r>
      <w:r>
        <w:rPr>
          <w:color w:val="auto"/>
          <w:lang w:val="de-DE" w:eastAsia="en-GB"/>
        </w:rPr>
        <w:t>spiegelt</w:t>
      </w:r>
      <w:r w:rsidRPr="00837B9E">
        <w:rPr>
          <w:color w:val="auto"/>
          <w:lang w:val="de-DE" w:eastAsia="en-GB"/>
        </w:rPr>
        <w:t xml:space="preserve"> sich in den Zahlen unserer Studie wider. Die tatsächliche oder </w:t>
      </w:r>
      <w:r>
        <w:rPr>
          <w:color w:val="auto"/>
          <w:lang w:val="de-DE" w:eastAsia="en-GB"/>
        </w:rPr>
        <w:t>künftig erwartete</w:t>
      </w:r>
      <w:r w:rsidRPr="00837B9E">
        <w:rPr>
          <w:color w:val="auto"/>
          <w:lang w:val="de-DE" w:eastAsia="en-GB"/>
        </w:rPr>
        <w:t xml:space="preserve"> </w:t>
      </w:r>
      <w:r>
        <w:rPr>
          <w:color w:val="auto"/>
          <w:lang w:val="de-DE" w:eastAsia="en-GB"/>
        </w:rPr>
        <w:t>Performance</w:t>
      </w:r>
      <w:r w:rsidRPr="00837B9E">
        <w:rPr>
          <w:color w:val="auto"/>
          <w:lang w:val="de-DE" w:eastAsia="en-GB"/>
        </w:rPr>
        <w:t xml:space="preserve"> </w:t>
      </w:r>
      <w:r w:rsidR="001B6F5C">
        <w:rPr>
          <w:color w:val="auto"/>
          <w:lang w:val="de-DE" w:eastAsia="en-GB"/>
        </w:rPr>
        <w:t>wird immer wichtiger</w:t>
      </w:r>
      <w:r>
        <w:rPr>
          <w:color w:val="auto"/>
          <w:lang w:val="de-DE" w:eastAsia="en-GB"/>
        </w:rPr>
        <w:t>“</w:t>
      </w:r>
      <w:r w:rsidR="001B6F5C">
        <w:rPr>
          <w:color w:val="auto"/>
          <w:lang w:val="de-DE" w:eastAsia="en-GB"/>
        </w:rPr>
        <w:t>, sagt Reiners.</w:t>
      </w:r>
      <w:r w:rsidRPr="00837B9E">
        <w:rPr>
          <w:color w:val="auto"/>
          <w:lang w:val="de-DE" w:eastAsia="en-GB"/>
        </w:rPr>
        <w:t xml:space="preserve"> Ein tatkräftiger </w:t>
      </w:r>
      <w:r>
        <w:rPr>
          <w:color w:val="auto"/>
          <w:lang w:val="de-DE" w:eastAsia="en-GB"/>
        </w:rPr>
        <w:t>und</w:t>
      </w:r>
      <w:r w:rsidRPr="00837B9E">
        <w:rPr>
          <w:color w:val="auto"/>
          <w:lang w:val="de-DE" w:eastAsia="en-GB"/>
        </w:rPr>
        <w:t xml:space="preserve"> junger</w:t>
      </w:r>
      <w:r w:rsidR="001B6F5C">
        <w:rPr>
          <w:color w:val="auto"/>
          <w:lang w:val="de-DE" w:eastAsia="en-GB"/>
        </w:rPr>
        <w:t>,</w:t>
      </w:r>
      <w:r w:rsidRPr="00837B9E">
        <w:rPr>
          <w:color w:val="auto"/>
          <w:lang w:val="de-DE" w:eastAsia="en-GB"/>
        </w:rPr>
        <w:t xml:space="preserve"> </w:t>
      </w:r>
      <w:r>
        <w:rPr>
          <w:color w:val="auto"/>
          <w:lang w:val="de-DE" w:eastAsia="en-GB"/>
        </w:rPr>
        <w:t>„</w:t>
      </w:r>
      <w:r w:rsidRPr="00837B9E">
        <w:rPr>
          <w:color w:val="auto"/>
          <w:lang w:val="de-DE" w:eastAsia="en-GB"/>
        </w:rPr>
        <w:t>vielversprechender</w:t>
      </w:r>
      <w:r>
        <w:rPr>
          <w:color w:val="auto"/>
          <w:lang w:val="de-DE" w:eastAsia="en-GB"/>
        </w:rPr>
        <w:t>“</w:t>
      </w:r>
      <w:r w:rsidRPr="00837B9E">
        <w:rPr>
          <w:color w:val="auto"/>
          <w:lang w:val="de-DE" w:eastAsia="en-GB"/>
        </w:rPr>
        <w:t xml:space="preserve"> Mitarbeiter </w:t>
      </w:r>
      <w:r w:rsidR="001B6F5C">
        <w:rPr>
          <w:color w:val="auto"/>
          <w:lang w:val="de-DE" w:eastAsia="en-GB"/>
        </w:rPr>
        <w:t>stehe</w:t>
      </w:r>
      <w:r w:rsidRPr="00837B9E">
        <w:rPr>
          <w:color w:val="auto"/>
          <w:lang w:val="de-DE" w:eastAsia="en-GB"/>
        </w:rPr>
        <w:t xml:space="preserve"> unter Umständen </w:t>
      </w:r>
      <w:r>
        <w:rPr>
          <w:color w:val="auto"/>
          <w:lang w:val="de-DE" w:eastAsia="en-GB"/>
        </w:rPr>
        <w:t xml:space="preserve">bei Gehaltserhöhungen deutlich </w:t>
      </w:r>
      <w:r w:rsidRPr="00837B9E">
        <w:rPr>
          <w:color w:val="auto"/>
          <w:lang w:val="de-DE" w:eastAsia="en-GB"/>
        </w:rPr>
        <w:t>höher im Rang als jemand</w:t>
      </w:r>
      <w:proofErr w:type="gramStart"/>
      <w:r w:rsidRPr="00837B9E">
        <w:rPr>
          <w:color w:val="auto"/>
          <w:lang w:val="de-DE" w:eastAsia="en-GB"/>
        </w:rPr>
        <w:t>, der</w:t>
      </w:r>
      <w:proofErr w:type="gramEnd"/>
      <w:r w:rsidRPr="00837B9E">
        <w:rPr>
          <w:color w:val="auto"/>
          <w:lang w:val="de-DE" w:eastAsia="en-GB"/>
        </w:rPr>
        <w:t xml:space="preserve"> bereits lange Zeit im Unternehmen ist. Immerhin werden Wissen und</w:t>
      </w:r>
      <w:r w:rsidR="001B6F5C">
        <w:rPr>
          <w:color w:val="auto"/>
          <w:lang w:val="de-DE" w:eastAsia="en-GB"/>
        </w:rPr>
        <w:t xml:space="preserve"> spezifische Fähigkeiten mit 58</w:t>
      </w:r>
      <w:r w:rsidRPr="00837B9E">
        <w:rPr>
          <w:color w:val="auto"/>
          <w:lang w:val="de-DE" w:eastAsia="en-GB"/>
        </w:rPr>
        <w:t xml:space="preserve"> Prozent</w:t>
      </w:r>
      <w:r>
        <w:rPr>
          <w:color w:val="auto"/>
          <w:lang w:val="de-DE" w:eastAsia="en-GB"/>
        </w:rPr>
        <w:t xml:space="preserve"> noch relativ hoch angerechnet. Schaut man sich die Verteilung der Gehaltserhöhungen aus Leistungsbeurteilungssicht an, sieht man eine deutliche Differenzierung. Mitarbeiter, die die Erwartungen erfüllt  haben (ca. 64 Prozent), liegen im Durchschnitt bei 2,6 Prozent Erhöhung</w:t>
      </w:r>
      <w:proofErr w:type="gramStart"/>
      <w:r>
        <w:rPr>
          <w:color w:val="auto"/>
          <w:lang w:val="de-DE" w:eastAsia="en-GB"/>
        </w:rPr>
        <w:t>, während</w:t>
      </w:r>
      <w:proofErr w:type="gramEnd"/>
      <w:r>
        <w:rPr>
          <w:color w:val="auto"/>
          <w:lang w:val="de-DE" w:eastAsia="en-GB"/>
        </w:rPr>
        <w:t xml:space="preserve"> die Mitarbeiter mit Zielübererreichung bei 3,6 – 4,5 Prozent liegen.</w:t>
      </w:r>
    </w:p>
    <w:p w:rsidR="00905647" w:rsidRDefault="00905647" w:rsidP="00A20D7E">
      <w:pPr>
        <w:widowControl w:val="0"/>
        <w:overflowPunct/>
        <w:spacing w:line="312" w:lineRule="auto"/>
        <w:ind w:right="1416"/>
        <w:textAlignment w:val="auto"/>
        <w:rPr>
          <w:color w:val="auto"/>
          <w:lang w:val="de-DE" w:eastAsia="en-GB"/>
        </w:rPr>
      </w:pPr>
    </w:p>
    <w:p w:rsidR="00905647" w:rsidRPr="00BC7D66" w:rsidRDefault="00905647" w:rsidP="00905647">
      <w:pPr>
        <w:widowControl w:val="0"/>
        <w:spacing w:line="288" w:lineRule="auto"/>
        <w:ind w:right="1416"/>
        <w:textAlignment w:val="auto"/>
        <w:rPr>
          <w:b/>
          <w:bCs/>
          <w:lang w:val="de-DE" w:eastAsia="en-GB"/>
        </w:rPr>
      </w:pPr>
      <w:r w:rsidRPr="00BC7D66">
        <w:rPr>
          <w:b/>
          <w:bCs/>
          <w:lang w:val="de-DE" w:eastAsia="en-GB"/>
        </w:rPr>
        <w:t>Global Salary Increase Survey</w:t>
      </w:r>
    </w:p>
    <w:p w:rsidR="004B1187" w:rsidRDefault="00905647" w:rsidP="00A20D7E">
      <w:pPr>
        <w:widowControl w:val="0"/>
        <w:overflowPunct/>
        <w:spacing w:line="312" w:lineRule="auto"/>
        <w:ind w:right="1416"/>
        <w:textAlignment w:val="auto"/>
        <w:rPr>
          <w:bCs/>
          <w:lang w:val="de-DE" w:eastAsia="en-GB"/>
        </w:rPr>
      </w:pPr>
      <w:r w:rsidRPr="003E210D">
        <w:rPr>
          <w:bCs/>
          <w:lang w:val="de-DE" w:eastAsia="en-GB"/>
        </w:rPr>
        <w:t>Die jährlich durchgeführte Studie liefert Informationen über die Gehaltserhöhung in über</w:t>
      </w:r>
      <w:r>
        <w:rPr>
          <w:bCs/>
          <w:lang w:val="de-DE" w:eastAsia="en-GB"/>
        </w:rPr>
        <w:t xml:space="preserve"> </w:t>
      </w:r>
      <w:r w:rsidR="004B1187">
        <w:rPr>
          <w:bCs/>
          <w:lang w:val="de-DE" w:eastAsia="en-GB"/>
        </w:rPr>
        <w:t>120</w:t>
      </w:r>
      <w:r w:rsidRPr="003E210D">
        <w:rPr>
          <w:bCs/>
          <w:lang w:val="de-DE" w:eastAsia="en-GB"/>
        </w:rPr>
        <w:t xml:space="preserve"> Ländern und analysiert die Vergütungspraktiken von mehr als 14.000 </w:t>
      </w:r>
      <w:r w:rsidRPr="00D620FE">
        <w:rPr>
          <w:bCs/>
          <w:lang w:val="de-DE" w:eastAsia="en-GB"/>
        </w:rPr>
        <w:t>Untern</w:t>
      </w:r>
      <w:r w:rsidRPr="00BC7D66">
        <w:rPr>
          <w:bCs/>
          <w:lang w:val="de-DE" w:eastAsia="en-GB"/>
        </w:rPr>
        <w:t xml:space="preserve">ehmen. In Deutschland haben sich </w:t>
      </w:r>
      <w:r w:rsidR="004B1187">
        <w:rPr>
          <w:bCs/>
          <w:lang w:val="de-DE" w:eastAsia="en-GB"/>
        </w:rPr>
        <w:t>317</w:t>
      </w:r>
      <w:r w:rsidRPr="00BC7D66">
        <w:rPr>
          <w:bCs/>
          <w:lang w:val="de-DE" w:eastAsia="en-GB"/>
        </w:rPr>
        <w:t xml:space="preserve"> Unternehmen an der Studie beteiligt. </w:t>
      </w:r>
      <w:r w:rsidRPr="003E210D">
        <w:rPr>
          <w:bCs/>
          <w:lang w:val="de-DE" w:eastAsia="en-GB"/>
        </w:rPr>
        <w:t>Der Report</w:t>
      </w:r>
      <w:r>
        <w:rPr>
          <w:bCs/>
          <w:lang w:val="de-DE" w:eastAsia="en-GB"/>
        </w:rPr>
        <w:t xml:space="preserve"> </w:t>
      </w:r>
      <w:r w:rsidRPr="003E210D">
        <w:rPr>
          <w:bCs/>
          <w:lang w:val="de-DE" w:eastAsia="en-GB"/>
        </w:rPr>
        <w:t>erfasst die aktuellen Erhöhungen, die erwarteten Steigerungsraten für das kommende</w:t>
      </w:r>
      <w:r>
        <w:rPr>
          <w:bCs/>
          <w:lang w:val="de-DE" w:eastAsia="en-GB"/>
        </w:rPr>
        <w:t xml:space="preserve"> </w:t>
      </w:r>
      <w:r w:rsidRPr="003E210D">
        <w:rPr>
          <w:bCs/>
          <w:lang w:val="de-DE" w:eastAsia="en-GB"/>
        </w:rPr>
        <w:t>Jahr und liefert detaillierte Auswertungen je nach Hierarchiestufe, Branche, Unternehmensgröße</w:t>
      </w:r>
      <w:r>
        <w:rPr>
          <w:bCs/>
          <w:lang w:val="de-DE" w:eastAsia="en-GB"/>
        </w:rPr>
        <w:t xml:space="preserve"> </w:t>
      </w:r>
      <w:r w:rsidRPr="003E210D">
        <w:rPr>
          <w:bCs/>
          <w:lang w:val="de-DE" w:eastAsia="en-GB"/>
        </w:rPr>
        <w:t>und Land.</w:t>
      </w:r>
    </w:p>
    <w:p w:rsidR="00A20D7E" w:rsidRPr="004B1187" w:rsidRDefault="00A20D7E" w:rsidP="00A20D7E">
      <w:pPr>
        <w:widowControl w:val="0"/>
        <w:overflowPunct/>
        <w:spacing w:line="312" w:lineRule="auto"/>
        <w:ind w:right="1416"/>
        <w:textAlignment w:val="auto"/>
        <w:rPr>
          <w:bCs/>
          <w:lang w:val="de-DE" w:eastAsia="en-GB"/>
        </w:rPr>
      </w:pPr>
    </w:p>
    <w:tbl>
      <w:tblPr>
        <w:tblW w:w="9142" w:type="dxa"/>
        <w:tblCellMar>
          <w:left w:w="70" w:type="dxa"/>
          <w:right w:w="70" w:type="dxa"/>
        </w:tblCellMar>
        <w:tblLook w:val="0000"/>
      </w:tblPr>
      <w:tblGrid>
        <w:gridCol w:w="4606"/>
        <w:gridCol w:w="4536"/>
      </w:tblGrid>
      <w:tr w:rsidR="00A20D7E" w:rsidRPr="00052A65">
        <w:trPr>
          <w:trHeight w:val="1064"/>
        </w:trPr>
        <w:tc>
          <w:tcPr>
            <w:tcW w:w="4606" w:type="dxa"/>
          </w:tcPr>
          <w:p w:rsidR="00A20D7E" w:rsidRDefault="00A20D7E" w:rsidP="00905647">
            <w:pPr>
              <w:ind w:right="74"/>
              <w:rPr>
                <w:b/>
                <w:sz w:val="18"/>
                <w:lang w:val="de-DE"/>
              </w:rPr>
            </w:pPr>
            <w:r>
              <w:rPr>
                <w:b/>
                <w:sz w:val="18"/>
                <w:lang w:val="de-DE"/>
              </w:rPr>
              <w:t>Aon Hewitt</w:t>
            </w:r>
            <w:r w:rsidRPr="002B5030">
              <w:rPr>
                <w:b/>
                <w:sz w:val="18"/>
                <w:lang w:val="de-DE"/>
              </w:rPr>
              <w:t xml:space="preserve"> GmbH </w:t>
            </w:r>
          </w:p>
          <w:p w:rsidR="00A20D7E" w:rsidRPr="00976D35" w:rsidRDefault="00A20D7E" w:rsidP="00905647">
            <w:pPr>
              <w:ind w:right="-1"/>
              <w:rPr>
                <w:sz w:val="18"/>
                <w:lang w:val="de-DE"/>
              </w:rPr>
            </w:pPr>
            <w:r w:rsidRPr="001073BA">
              <w:rPr>
                <w:sz w:val="18"/>
                <w:lang w:val="de-DE"/>
              </w:rPr>
              <w:t>Nina Südfeld</w:t>
            </w:r>
            <w:r w:rsidRPr="002B5030">
              <w:rPr>
                <w:b/>
                <w:sz w:val="18"/>
                <w:lang w:val="de-DE"/>
              </w:rPr>
              <w:br/>
            </w:r>
            <w:r w:rsidRPr="002B5030">
              <w:rPr>
                <w:sz w:val="18"/>
                <w:lang w:val="de-DE"/>
              </w:rPr>
              <w:t>Radlkoferstraße 2 – 81373 München</w:t>
            </w:r>
            <w:r w:rsidRPr="002B5030">
              <w:rPr>
                <w:sz w:val="18"/>
                <w:lang w:val="de-DE"/>
              </w:rPr>
              <w:br/>
              <w:t>Tel.: +49 89 88987-0</w:t>
            </w:r>
            <w:r w:rsidRPr="002B5030">
              <w:rPr>
                <w:sz w:val="18"/>
                <w:lang w:val="de-DE"/>
              </w:rPr>
              <w:br/>
            </w:r>
            <w:r w:rsidRPr="00AB11B2">
              <w:rPr>
                <w:sz w:val="18"/>
                <w:lang w:val="de-DE"/>
              </w:rPr>
              <w:t>pressegermany@</w:t>
            </w:r>
            <w:r>
              <w:rPr>
                <w:sz w:val="18"/>
                <w:lang w:val="de-DE"/>
              </w:rPr>
              <w:t>aon</w:t>
            </w:r>
            <w:r w:rsidRPr="00AB11B2">
              <w:rPr>
                <w:sz w:val="18"/>
                <w:lang w:val="de-DE"/>
              </w:rPr>
              <w:t>hewitt.com</w:t>
            </w:r>
            <w:r w:rsidRPr="002B5030">
              <w:rPr>
                <w:sz w:val="18"/>
                <w:lang w:val="de-DE"/>
              </w:rPr>
              <w:t xml:space="preserve"> – </w:t>
            </w:r>
            <w:r w:rsidRPr="00AB11B2">
              <w:rPr>
                <w:sz w:val="18"/>
                <w:lang w:val="de-DE"/>
              </w:rPr>
              <w:t>www.</w:t>
            </w:r>
            <w:r>
              <w:rPr>
                <w:sz w:val="18"/>
                <w:lang w:val="de-DE"/>
              </w:rPr>
              <w:t>aonhewitt.de</w:t>
            </w:r>
          </w:p>
        </w:tc>
        <w:tc>
          <w:tcPr>
            <w:tcW w:w="4536" w:type="dxa"/>
          </w:tcPr>
          <w:p w:rsidR="00A20D7E" w:rsidRPr="00E00C34" w:rsidRDefault="00A20D7E" w:rsidP="00905647">
            <w:pPr>
              <w:ind w:right="-1"/>
              <w:rPr>
                <w:sz w:val="18"/>
                <w:lang w:val="de-DE"/>
              </w:rPr>
            </w:pPr>
            <w:r w:rsidRPr="00976D35">
              <w:rPr>
                <w:b/>
                <w:sz w:val="18"/>
                <w:lang w:val="de-DE"/>
              </w:rPr>
              <w:t>Presse- und Öffentlichkeitsarbeit:</w:t>
            </w:r>
            <w:r w:rsidRPr="00976D35">
              <w:rPr>
                <w:sz w:val="18"/>
                <w:lang w:val="de-DE"/>
              </w:rPr>
              <w:br/>
            </w:r>
            <w:r w:rsidRPr="00E00C34">
              <w:rPr>
                <w:sz w:val="18"/>
                <w:lang w:val="de-DE"/>
              </w:rPr>
              <w:t xml:space="preserve">Press'n'Relations GmbH – </w:t>
            </w:r>
            <w:r>
              <w:rPr>
                <w:sz w:val="18"/>
                <w:lang w:val="de-DE"/>
              </w:rPr>
              <w:t>Andrea Wagner</w:t>
            </w:r>
            <w:r w:rsidRPr="00E00C34">
              <w:rPr>
                <w:sz w:val="18"/>
                <w:lang w:val="de-DE"/>
              </w:rPr>
              <w:br/>
            </w:r>
            <w:r>
              <w:rPr>
                <w:sz w:val="18"/>
                <w:lang w:val="de-DE"/>
              </w:rPr>
              <w:t>Gräfstr. 66 – D-81241 München</w:t>
            </w:r>
            <w:r w:rsidRPr="00976D35">
              <w:rPr>
                <w:sz w:val="18"/>
                <w:lang w:val="de-DE"/>
              </w:rPr>
              <w:br/>
              <w:t xml:space="preserve">Tel.: +49 </w:t>
            </w:r>
            <w:r>
              <w:rPr>
                <w:sz w:val="18"/>
                <w:lang w:val="de-DE"/>
              </w:rPr>
              <w:t>89 5404 722-20</w:t>
            </w:r>
            <w:r w:rsidRPr="00976D35">
              <w:rPr>
                <w:sz w:val="18"/>
                <w:lang w:val="de-DE"/>
              </w:rPr>
              <w:t xml:space="preserve"> – Fax: +49 </w:t>
            </w:r>
            <w:r>
              <w:rPr>
                <w:sz w:val="18"/>
                <w:lang w:val="de-DE"/>
              </w:rPr>
              <w:t>89 5404 722-29</w:t>
            </w:r>
            <w:r w:rsidRPr="00976D35">
              <w:rPr>
                <w:sz w:val="18"/>
                <w:lang w:val="de-DE"/>
              </w:rPr>
              <w:br/>
              <w:t xml:space="preserve">aw@press-n-relations.de – </w:t>
            </w:r>
            <w:hyperlink r:id="rId4" w:history="1">
              <w:r w:rsidRPr="00976D35">
                <w:rPr>
                  <w:sz w:val="18"/>
                  <w:lang w:val="de-DE"/>
                </w:rPr>
                <w:t>www.press-n-relations.com</w:t>
              </w:r>
            </w:hyperlink>
          </w:p>
        </w:tc>
      </w:tr>
    </w:tbl>
    <w:p w:rsidR="00A20D7E" w:rsidRDefault="00A20D7E" w:rsidP="00A20D7E">
      <w:pPr>
        <w:ind w:right="-1"/>
        <w:outlineLvl w:val="0"/>
        <w:rPr>
          <w:rFonts w:ascii="Helvetica" w:hAnsi="Helvetica"/>
          <w:b/>
          <w:bCs/>
          <w:iCs/>
          <w:noProof/>
          <w:sz w:val="18"/>
          <w:lang w:val="de-DE" w:eastAsia="ar-SA"/>
        </w:rPr>
      </w:pPr>
    </w:p>
    <w:p w:rsidR="00A20D7E" w:rsidRDefault="00A20D7E" w:rsidP="00A20D7E">
      <w:pPr>
        <w:ind w:right="-1"/>
        <w:outlineLvl w:val="0"/>
        <w:rPr>
          <w:rFonts w:ascii="Helvetica" w:hAnsi="Helvetica"/>
          <w:b/>
          <w:bCs/>
          <w:iCs/>
          <w:noProof/>
          <w:sz w:val="18"/>
          <w:lang w:val="de-DE" w:eastAsia="ar-SA"/>
        </w:rPr>
      </w:pPr>
    </w:p>
    <w:p w:rsidR="00A20D7E" w:rsidRPr="004C4688" w:rsidRDefault="00A20D7E" w:rsidP="00A20D7E">
      <w:pPr>
        <w:ind w:right="-1"/>
        <w:outlineLvl w:val="0"/>
        <w:rPr>
          <w:sz w:val="22"/>
          <w:szCs w:val="22"/>
          <w:lang w:val="de-DE" w:eastAsia="ja-JP"/>
        </w:rPr>
      </w:pPr>
      <w:r w:rsidRPr="00E501D1">
        <w:rPr>
          <w:rFonts w:ascii="Helvetica" w:hAnsi="Helvetica"/>
          <w:b/>
          <w:bCs/>
          <w:iCs/>
          <w:noProof/>
          <w:sz w:val="18"/>
          <w:lang w:val="de-DE" w:eastAsia="ar-SA"/>
        </w:rPr>
        <w:t xml:space="preserve">Über Aon Hewitt </w:t>
      </w:r>
    </w:p>
    <w:p w:rsidR="00A20D7E" w:rsidRPr="00827F18" w:rsidRDefault="00A20D7E" w:rsidP="00A20D7E">
      <w:pPr>
        <w:overflowPunct/>
        <w:ind w:right="-1"/>
        <w:textAlignment w:val="auto"/>
        <w:rPr>
          <w:bCs/>
          <w:iCs/>
          <w:noProof/>
          <w:sz w:val="18"/>
          <w:lang w:val="de-DE" w:eastAsia="ar-SA"/>
        </w:rPr>
      </w:pPr>
      <w:r w:rsidRPr="00827F18">
        <w:rPr>
          <w:bCs/>
          <w:iCs/>
          <w:noProof/>
          <w:sz w:val="18"/>
          <w:lang w:val="de-DE" w:eastAsia="ar-SA"/>
        </w:rPr>
        <w:t xml:space="preserve">Aon Hewitt ist weltweit führend in Sachen HR-Lösungen. Das Unternehmen konzipiert, implementiert, kommuniziert und verwaltet Lösungen und Strategien in den Bereichen Human Resources, Investment Consulting, Pension Administration, Vergütung und Talent Management. Zudem berät Aon Hewitt in komplexen Fragestellungen der betrieblichen Altersversorgung. Weltweit ist Aon Hewitt mit mehr als 29.000 Mitarbeitern in 90 Ländern vertreten. In Deutschland arbeiten rund 400 Mitarbeiter an den Standorten München, Mülheim, </w:t>
      </w:r>
      <w:r>
        <w:rPr>
          <w:bCs/>
          <w:iCs/>
          <w:noProof/>
          <w:sz w:val="18"/>
          <w:lang w:val="de-DE" w:eastAsia="ar-SA"/>
        </w:rPr>
        <w:t>Frankfurt, Wiesbaden, Stuttgart und</w:t>
      </w:r>
      <w:r w:rsidRPr="00827F18">
        <w:rPr>
          <w:bCs/>
          <w:iCs/>
          <w:noProof/>
          <w:sz w:val="18"/>
          <w:lang w:val="de-DE" w:eastAsia="ar-SA"/>
        </w:rPr>
        <w:t xml:space="preserve"> Hamburg. Weitere Informationen zu Aon Hewitt finden Sie unter www.aonhewitt.de.</w:t>
      </w:r>
    </w:p>
    <w:p w:rsidR="00A20D7E" w:rsidRPr="00827F18" w:rsidRDefault="00A20D7E" w:rsidP="00A20D7E">
      <w:pPr>
        <w:ind w:right="-1"/>
        <w:rPr>
          <w:b/>
          <w:sz w:val="18"/>
          <w:lang w:val="de-DE"/>
        </w:rPr>
      </w:pPr>
    </w:p>
    <w:p w:rsidR="00A20D7E" w:rsidRPr="00062640" w:rsidRDefault="00A20D7E" w:rsidP="00A20D7E">
      <w:pPr>
        <w:ind w:right="-1"/>
        <w:rPr>
          <w:b/>
          <w:sz w:val="18"/>
          <w:lang w:val="de-DE"/>
        </w:rPr>
      </w:pPr>
      <w:r w:rsidRPr="00062640">
        <w:rPr>
          <w:b/>
          <w:sz w:val="18"/>
          <w:lang w:val="de-DE"/>
        </w:rPr>
        <w:t>Über Aon</w:t>
      </w:r>
    </w:p>
    <w:p w:rsidR="00A20D7E" w:rsidRPr="00827F18" w:rsidRDefault="00A20D7E" w:rsidP="00A20D7E">
      <w:pPr>
        <w:ind w:right="-1"/>
        <w:rPr>
          <w:sz w:val="18"/>
          <w:szCs w:val="18"/>
          <w:lang w:val="de-DE"/>
        </w:rPr>
      </w:pPr>
      <w:r w:rsidRPr="00060F80">
        <w:rPr>
          <w:sz w:val="18"/>
          <w:szCs w:val="18"/>
          <w:lang w:val="de-DE"/>
        </w:rPr>
        <w:t>Der Aon Konzern ist der führende globale Dienstleister für Risikomanagement, HR-Lösungen und Outsourcing-Services sowie Versicherungs- und Rückversicherungsmakler. Weltweit ermöglichen es mehr als 6</w:t>
      </w:r>
      <w:r>
        <w:rPr>
          <w:sz w:val="18"/>
          <w:szCs w:val="18"/>
          <w:lang w:val="de-DE"/>
        </w:rPr>
        <w:t>5</w:t>
      </w:r>
      <w:r w:rsidRPr="00060F80">
        <w:rPr>
          <w:sz w:val="18"/>
          <w:szCs w:val="18"/>
          <w:lang w:val="de-DE"/>
        </w:rPr>
        <w:t xml:space="preserve">.000 Mitarbeiter durch ihr branchenführendes Wissen und ihr technisches Know-how, Kunden in über 120 Ländern mit innovativen und effizienten Lösungen für Risikomanagement und Arbeitsproduktivität einen deutlichen Mehrwert zu bieten. Dafür wurde Aon mehrfach als weltbestes Broker-Unternehmen, Versicherungs- und Rückversicherungsmakler, Captive Manager und Berater für Sozialleistungen ausgezeichnet. Weitere Informationen zu Aon gibt es unter www.aon.com, unter </w:t>
      </w:r>
      <w:hyperlink r:id="rId5" w:history="1">
        <w:r w:rsidRPr="008D509A">
          <w:rPr>
            <w:rStyle w:val="Link"/>
            <w:color w:val="auto"/>
            <w:sz w:val="18"/>
            <w:szCs w:val="18"/>
            <w:lang w:val="de-DE"/>
          </w:rPr>
          <w:t>www.aon.com/unitedin2010</w:t>
        </w:r>
      </w:hyperlink>
      <w:r w:rsidRPr="008D509A">
        <w:rPr>
          <w:color w:val="auto"/>
          <w:sz w:val="18"/>
          <w:szCs w:val="18"/>
          <w:lang w:val="de-DE"/>
        </w:rPr>
        <w:t xml:space="preserve"> </w:t>
      </w:r>
      <w:r w:rsidRPr="00060F80">
        <w:rPr>
          <w:sz w:val="18"/>
          <w:szCs w:val="18"/>
          <w:lang w:val="de-DE"/>
        </w:rPr>
        <w:t>zudem alles über die globale Partnerschaft zwischen Aon und Manchester United inklusive Trikotsponsoring des Vereins durch Aon.</w:t>
      </w:r>
    </w:p>
    <w:p w:rsidR="00A20D7E" w:rsidRPr="002B76FB" w:rsidRDefault="00A20D7E" w:rsidP="00A20D7E">
      <w:pPr>
        <w:rPr>
          <w:lang w:val="de-DE"/>
        </w:rPr>
      </w:pPr>
    </w:p>
    <w:p w:rsidR="00A20D7E" w:rsidRPr="002B76FB" w:rsidRDefault="00A20D7E" w:rsidP="00A20D7E">
      <w:pPr>
        <w:rPr>
          <w:lang w:val="de-DE"/>
        </w:rPr>
      </w:pPr>
    </w:p>
    <w:p w:rsidR="00905647" w:rsidRDefault="00905647"/>
    <w:sectPr w:rsidR="00905647" w:rsidSect="00905647">
      <w:headerReference w:type="default" r:id="rId6"/>
      <w:pgSz w:w="11906" w:h="16838" w:code="9"/>
      <w:pgMar w:top="2552" w:right="1416" w:bottom="1843" w:left="1560" w:header="567"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Lucida Grande">
    <w:panose1 w:val="020B06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5647" w:rsidRDefault="00905647" w:rsidP="00905647">
    <w:pPr>
      <w:pStyle w:val="Kopfzeile"/>
      <w:spacing w:line="336" w:lineRule="auto"/>
      <w:rPr>
        <w:sz w:val="18"/>
        <w:szCs w:val="18"/>
        <w:lang w:val="de-DE"/>
      </w:rPr>
    </w:pPr>
    <w:r>
      <w:rPr>
        <w:noProof/>
        <w:lang w:val="de-DE" w:eastAsia="de-DE"/>
      </w:rPr>
      <w:drawing>
        <wp:anchor distT="0" distB="0" distL="114300" distR="114300" simplePos="0" relativeHeight="251659264" behindDoc="0" locked="0" layoutInCell="1" allowOverlap="1">
          <wp:simplePos x="0" y="0"/>
          <wp:positionH relativeFrom="column">
            <wp:posOffset>3795395</wp:posOffset>
          </wp:positionH>
          <wp:positionV relativeFrom="paragraph">
            <wp:posOffset>152400</wp:posOffset>
          </wp:positionV>
          <wp:extent cx="2210435" cy="860425"/>
          <wp:effectExtent l="0" t="0" r="0" b="3175"/>
          <wp:wrapNone/>
          <wp:docPr id="3"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rcRect/>
                  <a:stretch>
                    <a:fillRect/>
                  </a:stretch>
                </pic:blipFill>
                <pic:spPr bwMode="auto">
                  <a:xfrm>
                    <a:off x="0" y="0"/>
                    <a:ext cx="2210435" cy="860425"/>
                  </a:xfrm>
                  <a:prstGeom prst="rect">
                    <a:avLst/>
                  </a:prstGeom>
                  <a:noFill/>
                </pic:spPr>
              </pic:pic>
            </a:graphicData>
          </a:graphic>
        </wp:anchor>
      </w:drawing>
    </w:r>
  </w:p>
  <w:p w:rsidR="00905647" w:rsidRDefault="00905647" w:rsidP="00905647">
    <w:pPr>
      <w:pStyle w:val="Kopfzeile"/>
      <w:spacing w:line="336" w:lineRule="auto"/>
      <w:rPr>
        <w:sz w:val="18"/>
        <w:szCs w:val="18"/>
      </w:rPr>
    </w:pPr>
  </w:p>
  <w:p w:rsidR="00905647" w:rsidRDefault="00905647" w:rsidP="00905647">
    <w:pPr>
      <w:spacing w:line="336" w:lineRule="auto"/>
      <w:rPr>
        <w:sz w:val="18"/>
        <w:szCs w:val="18"/>
      </w:rPr>
    </w:pPr>
  </w:p>
  <w:p w:rsidR="00905647" w:rsidRPr="00F65173" w:rsidRDefault="00905647" w:rsidP="00905647">
    <w:pPr>
      <w:pStyle w:val="Kopfzeile"/>
      <w:tabs>
        <w:tab w:val="clear" w:pos="4153"/>
        <w:tab w:val="clear" w:pos="8306"/>
        <w:tab w:val="left" w:pos="2715"/>
      </w:tabs>
      <w:ind w:left="720" w:hanging="720"/>
      <w:rPr>
        <w:color w:val="DB0000"/>
        <w:sz w:val="40"/>
        <w:szCs w:val="18"/>
        <w:lang w:val="de-DE"/>
      </w:rPr>
    </w:pPr>
    <w:r w:rsidRPr="00F65173">
      <w:rPr>
        <w:color w:val="DB0000"/>
        <w:sz w:val="40"/>
        <w:szCs w:val="48"/>
        <w:lang w:val="de-DE"/>
      </w:rPr>
      <w:t>Pressemeldung</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BF40D7"/>
    <w:rsid w:val="001B6F5C"/>
    <w:rsid w:val="002524DF"/>
    <w:rsid w:val="00312E50"/>
    <w:rsid w:val="004B1187"/>
    <w:rsid w:val="005817C0"/>
    <w:rsid w:val="006A5EF9"/>
    <w:rsid w:val="007D6B23"/>
    <w:rsid w:val="00825F99"/>
    <w:rsid w:val="00905647"/>
    <w:rsid w:val="00A20D7E"/>
    <w:rsid w:val="00BF40D7"/>
    <w:rsid w:val="00D05B89"/>
    <w:rsid w:val="00D50A48"/>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BF40D7"/>
    <w:pPr>
      <w:overflowPunct w:val="0"/>
      <w:autoSpaceDE w:val="0"/>
      <w:autoSpaceDN w:val="0"/>
      <w:adjustRightInd w:val="0"/>
      <w:textAlignment w:val="baseline"/>
    </w:pPr>
    <w:rPr>
      <w:rFonts w:ascii="Arial" w:eastAsia="Times New Roman" w:hAnsi="Arial" w:cs="Arial"/>
      <w:color w:val="000000"/>
      <w:sz w:val="20"/>
      <w:szCs w:val="20"/>
      <w:lang w:val="en-GB" w:eastAsia="fr-FR"/>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uiPriority w:val="99"/>
    <w:rsid w:val="00BF40D7"/>
    <w:pPr>
      <w:tabs>
        <w:tab w:val="center" w:pos="4153"/>
        <w:tab w:val="right" w:pos="8306"/>
      </w:tabs>
    </w:pPr>
  </w:style>
  <w:style w:type="character" w:customStyle="1" w:styleId="KopfzeileZeichen">
    <w:name w:val="Kopfzeile Zeichen"/>
    <w:basedOn w:val="Absatzstandardschriftart"/>
    <w:link w:val="Kopfzeile"/>
    <w:uiPriority w:val="99"/>
    <w:rsid w:val="00BF40D7"/>
    <w:rPr>
      <w:rFonts w:ascii="Arial" w:eastAsia="Times New Roman" w:hAnsi="Arial" w:cs="Arial"/>
      <w:color w:val="000000"/>
      <w:sz w:val="20"/>
      <w:szCs w:val="20"/>
      <w:lang w:val="en-GB" w:eastAsia="fr-FR"/>
    </w:rPr>
  </w:style>
  <w:style w:type="character" w:styleId="Link">
    <w:name w:val="Hyperlink"/>
    <w:uiPriority w:val="99"/>
    <w:rsid w:val="00BF40D7"/>
    <w:rPr>
      <w:rFonts w:cs="Times New Roman"/>
      <w:color w:val="0000FF"/>
      <w:u w:val="single"/>
    </w:rPr>
  </w:style>
  <w:style w:type="character" w:styleId="Kommentarzeichen">
    <w:name w:val="annotation reference"/>
    <w:basedOn w:val="Absatzstandardschriftart"/>
    <w:uiPriority w:val="99"/>
    <w:semiHidden/>
    <w:unhideWhenUsed/>
    <w:rsid w:val="00A20D7E"/>
    <w:rPr>
      <w:sz w:val="16"/>
      <w:szCs w:val="16"/>
    </w:rPr>
  </w:style>
  <w:style w:type="paragraph" w:styleId="Kommentartext">
    <w:name w:val="annotation text"/>
    <w:basedOn w:val="Standard"/>
    <w:link w:val="KommentartextZeichen"/>
    <w:uiPriority w:val="99"/>
    <w:semiHidden/>
    <w:unhideWhenUsed/>
    <w:rsid w:val="00A20D7E"/>
  </w:style>
  <w:style w:type="character" w:customStyle="1" w:styleId="KommentartextZeichen">
    <w:name w:val="Kommentartext Zeichen"/>
    <w:basedOn w:val="Absatzstandardschriftart"/>
    <w:link w:val="Kommentartext"/>
    <w:uiPriority w:val="99"/>
    <w:semiHidden/>
    <w:rsid w:val="00A20D7E"/>
    <w:rPr>
      <w:rFonts w:ascii="Arial" w:eastAsia="Times New Roman" w:hAnsi="Arial" w:cs="Arial"/>
      <w:color w:val="000000"/>
      <w:sz w:val="20"/>
      <w:szCs w:val="20"/>
      <w:lang w:val="en-GB" w:eastAsia="fr-FR"/>
    </w:rPr>
  </w:style>
  <w:style w:type="paragraph" w:styleId="Sprechblasentext">
    <w:name w:val="Balloon Text"/>
    <w:basedOn w:val="Standard"/>
    <w:link w:val="SprechblasentextZeichen"/>
    <w:uiPriority w:val="99"/>
    <w:semiHidden/>
    <w:unhideWhenUsed/>
    <w:rsid w:val="00A20D7E"/>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A20D7E"/>
    <w:rPr>
      <w:rFonts w:ascii="Lucida Grande" w:eastAsia="Times New Roman" w:hAnsi="Lucida Grande" w:cs="Arial"/>
      <w:color w:val="000000"/>
      <w:sz w:val="18"/>
      <w:szCs w:val="18"/>
      <w:lang w:val="en-GB" w:eastAsia="fr-FR"/>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www.press-n-relations.com" TargetMode="External"/><Relationship Id="rId5" Type="http://schemas.openxmlformats.org/officeDocument/2006/relationships/hyperlink" Target="http://www.aon.com/unitedin2010" TargetMode="External"/><Relationship Id="rId6" Type="http://schemas.openxmlformats.org/officeDocument/2006/relationships/header" Target="header1.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834</Words>
  <Characters>4759</Characters>
  <Application>Microsoft Macintosh Word</Application>
  <DocSecurity>0</DocSecurity>
  <Lines>39</Lines>
  <Paragraphs>9</Paragraphs>
  <ScaleCrop>false</ScaleCrop>
  <Company>Press'n'Relations </Company>
  <LinksUpToDate>false</LinksUpToDate>
  <CharactersWithSpaces>5844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7</cp:revision>
  <dcterms:created xsi:type="dcterms:W3CDTF">2013-09-06T11:57:00Z</dcterms:created>
  <dcterms:modified xsi:type="dcterms:W3CDTF">2013-09-10T06:16:00Z</dcterms:modified>
</cp:coreProperties>
</file>