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word/header3.xml" ContentType="application/vnd.openxmlformats-officedocument.wordprocessingml.head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footer3.xml" ContentType="application/vnd.openxmlformats-officedocument.wordprocessingml.footer+xml"/>
  <Default Extension="jpeg" ContentType="image/jpeg"/>
  <Override PartName="/word/styles.xml" ContentType="application/vnd.openxmlformats-officedocument.wordprocessingml.styles+xml"/>
  <Default Extension="rels" ContentType="application/vnd.openxmlformats-package.relationship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42CA" w:rsidRPr="00BE05B9" w:rsidRDefault="000442CA" w:rsidP="000442CA"/>
    <w:tbl>
      <w:tblPr>
        <w:tblW w:w="9286" w:type="dxa"/>
        <w:tblCellMar>
          <w:left w:w="70" w:type="dxa"/>
          <w:right w:w="70" w:type="dxa"/>
        </w:tblCellMar>
        <w:tblLook w:val="0000"/>
      </w:tblPr>
      <w:tblGrid>
        <w:gridCol w:w="4606"/>
        <w:gridCol w:w="4680"/>
      </w:tblGrid>
      <w:tr w:rsidR="000442CA" w:rsidRPr="00CE6940">
        <w:trPr>
          <w:trHeight w:val="1056"/>
        </w:trPr>
        <w:tc>
          <w:tcPr>
            <w:tcW w:w="4606" w:type="dxa"/>
          </w:tcPr>
          <w:p w:rsidR="000442CA" w:rsidRPr="00CE6940" w:rsidRDefault="000442CA" w:rsidP="00BA20D2">
            <w:pPr>
              <w:ind w:right="72"/>
              <w:rPr>
                <w:sz w:val="16"/>
                <w:szCs w:val="16"/>
                <w:lang w:val="de-CH"/>
              </w:rPr>
            </w:pPr>
            <w:bookmarkStart w:id="0" w:name="OLE_LINK1"/>
            <w:bookmarkStart w:id="1" w:name="OLE_LINK2"/>
            <w:bookmarkStart w:id="2" w:name="OLE_LINK3"/>
            <w:bookmarkStart w:id="3" w:name="OLE_LINK4"/>
            <w:r w:rsidRPr="00CE6940">
              <w:rPr>
                <w:b/>
                <w:sz w:val="16"/>
                <w:lang w:val="de-CH"/>
              </w:rPr>
              <w:t>Kontakt:</w:t>
            </w:r>
            <w:r w:rsidRPr="00CE6940">
              <w:rPr>
                <w:sz w:val="16"/>
                <w:szCs w:val="16"/>
                <w:lang w:val="de-CH"/>
              </w:rPr>
              <w:br/>
            </w:r>
            <w:r w:rsidRPr="00CE6940">
              <w:rPr>
                <w:sz w:val="16"/>
                <w:lang w:val="de-CH"/>
              </w:rPr>
              <w:t>Aon Hewitt (Suisse) SA – Fabio Peyer</w:t>
            </w:r>
          </w:p>
          <w:p w:rsidR="000442CA" w:rsidRPr="00183D78" w:rsidRDefault="000442CA" w:rsidP="00BA20D2">
            <w:pPr>
              <w:ind w:right="-1"/>
              <w:rPr>
                <w:sz w:val="16"/>
                <w:szCs w:val="16"/>
                <w:lang w:val="de-CH"/>
              </w:rPr>
            </w:pPr>
            <w:r w:rsidRPr="00183D78">
              <w:rPr>
                <w:sz w:val="16"/>
                <w:lang w:val="de-CH"/>
              </w:rPr>
              <w:t>Lagerstrasse 33 – 8021 Zurich</w:t>
            </w:r>
            <w:r w:rsidRPr="00183D78">
              <w:rPr>
                <w:sz w:val="16"/>
                <w:szCs w:val="16"/>
                <w:lang w:val="de-CH"/>
              </w:rPr>
              <w:br/>
            </w:r>
            <w:r w:rsidRPr="00183D78">
              <w:rPr>
                <w:sz w:val="16"/>
                <w:lang w:val="de-CH"/>
              </w:rPr>
              <w:t>Tél.: +41 58 266 88 22</w:t>
            </w:r>
            <w:r w:rsidRPr="00183D78">
              <w:rPr>
                <w:sz w:val="16"/>
                <w:szCs w:val="16"/>
                <w:lang w:val="de-CH"/>
              </w:rPr>
              <w:br/>
            </w:r>
            <w:hyperlink r:id="rId5">
              <w:r w:rsidRPr="00183D78">
                <w:rPr>
                  <w:noProof/>
                  <w:sz w:val="16"/>
                  <w:lang w:val="de-CH"/>
                </w:rPr>
                <w:t>fabio.peyer@aonhewitt.com</w:t>
              </w:r>
            </w:hyperlink>
            <w:r w:rsidRPr="00183D78">
              <w:rPr>
                <w:noProof/>
                <w:sz w:val="16"/>
                <w:lang w:val="de-CH"/>
              </w:rPr>
              <w:t xml:space="preserve"> – www.aonhewitt.ch</w:t>
            </w:r>
          </w:p>
        </w:tc>
        <w:tc>
          <w:tcPr>
            <w:tcW w:w="4680" w:type="dxa"/>
          </w:tcPr>
          <w:p w:rsidR="000442CA" w:rsidRPr="00183D78" w:rsidRDefault="000442CA" w:rsidP="00BA20D2">
            <w:pPr>
              <w:ind w:right="-1"/>
              <w:rPr>
                <w:sz w:val="16"/>
                <w:szCs w:val="16"/>
                <w:lang w:val="de-CH"/>
              </w:rPr>
            </w:pPr>
            <w:r w:rsidRPr="00183D78">
              <w:rPr>
                <w:b/>
                <w:sz w:val="16"/>
                <w:lang w:val="de-CH"/>
              </w:rPr>
              <w:t>Presse</w:t>
            </w:r>
            <w:r>
              <w:rPr>
                <w:b/>
                <w:sz w:val="16"/>
                <w:lang w:val="de-CH"/>
              </w:rPr>
              <w:t>-</w:t>
            </w:r>
            <w:r w:rsidRPr="00183D78">
              <w:rPr>
                <w:b/>
                <w:sz w:val="16"/>
                <w:lang w:val="de-CH"/>
              </w:rPr>
              <w:t xml:space="preserve"> </w:t>
            </w:r>
            <w:r>
              <w:rPr>
                <w:b/>
                <w:sz w:val="16"/>
                <w:lang w:val="de-CH"/>
              </w:rPr>
              <w:t>und Öffentlichkeitsarbeit</w:t>
            </w:r>
            <w:r w:rsidRPr="00183D78">
              <w:rPr>
                <w:b/>
                <w:sz w:val="16"/>
                <w:lang w:val="de-CH"/>
              </w:rPr>
              <w:t>:</w:t>
            </w:r>
            <w:r w:rsidRPr="00183D78">
              <w:rPr>
                <w:sz w:val="16"/>
                <w:szCs w:val="16"/>
                <w:lang w:val="de-CH"/>
              </w:rPr>
              <w:br/>
            </w:r>
            <w:r w:rsidRPr="00183D78">
              <w:rPr>
                <w:sz w:val="16"/>
                <w:lang w:val="de-CH"/>
              </w:rPr>
              <w:t>Press’n’Relations GmbH – Markus Häfliger</w:t>
            </w:r>
            <w:r w:rsidRPr="00183D78">
              <w:rPr>
                <w:sz w:val="16"/>
                <w:szCs w:val="16"/>
                <w:lang w:val="de-CH"/>
              </w:rPr>
              <w:br/>
            </w:r>
            <w:r w:rsidRPr="00183D78">
              <w:rPr>
                <w:sz w:val="16"/>
                <w:lang w:val="de-CH"/>
              </w:rPr>
              <w:t>Hirslanderstrasse 51 – 8032 Zurich</w:t>
            </w:r>
            <w:r w:rsidRPr="00183D78">
              <w:rPr>
                <w:sz w:val="16"/>
                <w:szCs w:val="16"/>
                <w:lang w:val="de-CH"/>
              </w:rPr>
              <w:br/>
            </w:r>
            <w:r w:rsidRPr="00183D78">
              <w:rPr>
                <w:sz w:val="16"/>
                <w:lang w:val="de-CH"/>
              </w:rPr>
              <w:t>Tél.: +41 43 344 58 65 – Fax: +41 43 344 58 69</w:t>
            </w:r>
            <w:r w:rsidRPr="00183D78">
              <w:rPr>
                <w:sz w:val="16"/>
                <w:szCs w:val="16"/>
                <w:lang w:val="de-CH"/>
              </w:rPr>
              <w:br/>
            </w:r>
            <w:r w:rsidRPr="00183D78">
              <w:rPr>
                <w:sz w:val="16"/>
                <w:lang w:val="de-CH"/>
              </w:rPr>
              <w:t xml:space="preserve">mh@press-n-relations.ch – www.press-n-relations.ch </w:t>
            </w:r>
          </w:p>
        </w:tc>
      </w:tr>
    </w:tbl>
    <w:p w:rsidR="00BA20D2" w:rsidRDefault="00BA20D2" w:rsidP="00BA20D2">
      <w:pPr>
        <w:widowControl w:val="0"/>
        <w:spacing w:line="288" w:lineRule="auto"/>
        <w:ind w:right="425"/>
        <w:rPr>
          <w:lang w:val="de-CH"/>
        </w:rPr>
      </w:pPr>
      <w:bookmarkStart w:id="4" w:name="OLE_LINK17"/>
      <w:bookmarkStart w:id="5" w:name="OLE_LINK18"/>
    </w:p>
    <w:p w:rsidR="00BA20D2" w:rsidRPr="00BA20D2" w:rsidRDefault="00BA20D2" w:rsidP="00BA20D2">
      <w:pPr>
        <w:widowControl w:val="0"/>
        <w:spacing w:line="288" w:lineRule="auto"/>
        <w:ind w:right="425"/>
        <w:rPr>
          <w:rFonts w:eastAsia="Times New Roman"/>
          <w:b/>
          <w:color w:val="000000" w:themeColor="text1"/>
          <w:sz w:val="24"/>
          <w:szCs w:val="36"/>
          <w:lang w:val="de-CH"/>
        </w:rPr>
      </w:pPr>
      <w:r w:rsidRPr="00BA20D2">
        <w:rPr>
          <w:rFonts w:eastAsia="Times New Roman"/>
          <w:b/>
          <w:color w:val="000000" w:themeColor="text1"/>
          <w:sz w:val="24"/>
          <w:szCs w:val="36"/>
          <w:lang w:val="de-CH"/>
        </w:rPr>
        <w:t xml:space="preserve">15. Januar 2015: Kalte Dusche, und nun? </w:t>
      </w:r>
    </w:p>
    <w:p w:rsidR="00BA20D2" w:rsidRDefault="003F3E28" w:rsidP="00BA20D2">
      <w:pPr>
        <w:widowControl w:val="0"/>
        <w:spacing w:line="288" w:lineRule="auto"/>
        <w:ind w:right="425"/>
        <w:rPr>
          <w:lang w:val="de-CH"/>
        </w:rPr>
      </w:pPr>
      <w:r>
        <w:rPr>
          <w:lang w:val="de-CH"/>
        </w:rPr>
        <w:t xml:space="preserve">Oliver Vaccaro, Partner und Swiss Managing Director’s Deputy bei Aon Hewitt, zu den Auswirkungen der Aufhebung des Euromindestkurses durch die SNB auf </w:t>
      </w:r>
      <w:r w:rsidR="00AF14A9">
        <w:rPr>
          <w:lang w:val="de-CH"/>
        </w:rPr>
        <w:t xml:space="preserve">Schweizer </w:t>
      </w:r>
      <w:r>
        <w:rPr>
          <w:lang w:val="de-CH"/>
        </w:rPr>
        <w:t>Pensionskassen</w:t>
      </w:r>
    </w:p>
    <w:p w:rsidR="00BA20D2" w:rsidRDefault="00BA20D2" w:rsidP="00BA20D2">
      <w:pPr>
        <w:widowControl w:val="0"/>
        <w:spacing w:line="288" w:lineRule="auto"/>
        <w:ind w:right="425"/>
        <w:rPr>
          <w:lang w:val="de-CH"/>
        </w:rPr>
      </w:pPr>
    </w:p>
    <w:p w:rsidR="00DF2570" w:rsidRDefault="004A09BA" w:rsidP="00BA20D2">
      <w:pPr>
        <w:widowControl w:val="0"/>
        <w:spacing w:line="288" w:lineRule="auto"/>
        <w:ind w:right="425"/>
        <w:rPr>
          <w:lang w:val="de-CH"/>
        </w:rPr>
      </w:pPr>
      <w:r w:rsidRPr="008C760A">
        <w:rPr>
          <w:b/>
          <w:lang w:val="de-CH"/>
        </w:rPr>
        <w:t>Züric</w:t>
      </w:r>
      <w:r w:rsidRPr="00E76930">
        <w:rPr>
          <w:b/>
          <w:lang w:val="de-CH"/>
        </w:rPr>
        <w:t xml:space="preserve">h, </w:t>
      </w:r>
      <w:r w:rsidRPr="00FA4345">
        <w:rPr>
          <w:b/>
          <w:lang w:val="de-CH"/>
        </w:rPr>
        <w:t xml:space="preserve">den </w:t>
      </w:r>
      <w:r w:rsidR="00FA4345" w:rsidRPr="00FA4345">
        <w:rPr>
          <w:b/>
          <w:lang w:val="de-CH"/>
        </w:rPr>
        <w:t>4</w:t>
      </w:r>
      <w:r w:rsidRPr="00FA4345">
        <w:rPr>
          <w:b/>
          <w:lang w:val="de-CH"/>
        </w:rPr>
        <w:t>. März</w:t>
      </w:r>
      <w:r>
        <w:rPr>
          <w:b/>
          <w:lang w:val="de-CH"/>
        </w:rPr>
        <w:t xml:space="preserve"> 2015 </w:t>
      </w:r>
      <w:r w:rsidRPr="00E76930">
        <w:rPr>
          <w:b/>
          <w:lang w:val="de-CH"/>
        </w:rPr>
        <w:t xml:space="preserve">– </w:t>
      </w:r>
      <w:r w:rsidR="00BA20D2" w:rsidRPr="00BA20D2">
        <w:rPr>
          <w:lang w:val="de-CH"/>
        </w:rPr>
        <w:t>Ende 2014 herrschte bei den meisten Vorsorgeeinrichtungen milde Euphorie. 2014 konnten zum dritten Mal in Folge ausgezeichnete Performances verzeichnet werden. Zahlreiche Vorsorgeeinrichtungen haben ihre Wertschwankungsreserve endlich bis zu ihrem Zielwert geäufnet, einige wiesen sogar freie Mittel aus. Innerhalb der paritätischen Organe drehten sich die Diskussionen um die zusätzliche Verzinsung der Altersguthaben, die den aktiven Versicherten gewährt werden kann. Zuweilen wurde sogar trotz Nullinflation eine Verbesserung zugunsten der Rentenbezüger in Erwägung gezogen. Die tiefen Zinssätze, die zwar heute für das Obligationenportfolio günstig sind, blieben beunruhigend. Aufgrund der seit mehreren Jahren verzeichneten Performances jedoch, rückte die Möglichkeit einer weniger erfreulichen Zukunft etwas in den Hintergrund.</w:t>
      </w:r>
    </w:p>
    <w:p w:rsidR="00DF2570" w:rsidRDefault="00DF2570" w:rsidP="00BA20D2">
      <w:pPr>
        <w:widowControl w:val="0"/>
        <w:spacing w:line="288" w:lineRule="auto"/>
        <w:ind w:right="425"/>
        <w:rPr>
          <w:lang w:val="de-CH"/>
        </w:rPr>
      </w:pPr>
    </w:p>
    <w:p w:rsidR="00BA20D2" w:rsidRDefault="00BA20D2" w:rsidP="00BA20D2">
      <w:pPr>
        <w:widowControl w:val="0"/>
        <w:spacing w:line="288" w:lineRule="auto"/>
        <w:ind w:right="425"/>
        <w:rPr>
          <w:lang w:val="de-CH"/>
        </w:rPr>
      </w:pPr>
      <w:r w:rsidRPr="00BA20D2">
        <w:rPr>
          <w:lang w:val="de-CH"/>
        </w:rPr>
        <w:t>Die meisten paritätischen Organe haben zudem in den letzten Jahren ihre Verantwortung wahrgenommen und die technischen Para</w:t>
      </w:r>
      <w:r w:rsidR="00C718BF">
        <w:rPr>
          <w:lang w:val="de-CH"/>
        </w:rPr>
        <w:t>meter ihrer Vorsorgeeinrichtung</w:t>
      </w:r>
      <w:r w:rsidRPr="00BA20D2">
        <w:rPr>
          <w:lang w:val="de-CH"/>
        </w:rPr>
        <w:t>angepasst. So basieren die technischen Zinssät</w:t>
      </w:r>
      <w:r w:rsidR="00C718BF">
        <w:rPr>
          <w:lang w:val="de-CH"/>
        </w:rPr>
        <w:t xml:space="preserve">ze, die Umwandlungssätze sowie </w:t>
      </w:r>
      <w:r w:rsidRPr="00BA20D2">
        <w:rPr>
          <w:lang w:val="de-CH"/>
        </w:rPr>
        <w:t>die Sterbetafeln nun auf vorsichtigeren Parametern. Ende 2014 schien also alles</w:t>
      </w:r>
      <w:r>
        <w:rPr>
          <w:lang w:val="de-CH"/>
        </w:rPr>
        <w:t xml:space="preserve"> </w:t>
      </w:r>
      <w:r w:rsidRPr="00BA20D2">
        <w:rPr>
          <w:lang w:val="de-CH"/>
        </w:rPr>
        <w:t>in bester Ordnung zu sein.</w:t>
      </w:r>
      <w:r>
        <w:rPr>
          <w:lang w:val="de-CH"/>
        </w:rPr>
        <w:t xml:space="preserve"> </w:t>
      </w:r>
      <w:r w:rsidRPr="00BA20D2">
        <w:rPr>
          <w:lang w:val="de-CH"/>
        </w:rPr>
        <w:t>Aber dann hat die Schweizer Nationalbank (SNB) am 15. Januar 2015 beschlossen, den Mindestkurs von CHF 1.20 pro Euro aufzuheben. Es kam zu einer starken Korrektur des SMI und zu einer allgemeinen Aufwertung des Schweizer Frankens gegenüber anderen Währungen. Der SNB-Entscheid löste einen regelrechten Sturm aus, in gewissen Wirtschaftskreisen war sogar von einem « Tsunami » die Rede. Die Entwertung des Euro (um ca. 15%) un</w:t>
      </w:r>
      <w:r w:rsidR="00DF2570">
        <w:rPr>
          <w:lang w:val="de-CH"/>
        </w:rPr>
        <w:t xml:space="preserve">d der Einbruch an den Schweizer </w:t>
      </w:r>
      <w:r w:rsidRPr="00BA20D2">
        <w:rPr>
          <w:lang w:val="de-CH"/>
        </w:rPr>
        <w:t>Aktienmärkten (um ca. 10%) blieben nicht ohne Auswirkung</w:t>
      </w:r>
      <w:r w:rsidR="00DF2570">
        <w:rPr>
          <w:lang w:val="de-CH"/>
        </w:rPr>
        <w:t xml:space="preserve">en auf die finanzielle Lage der </w:t>
      </w:r>
      <w:r w:rsidRPr="00BA20D2">
        <w:rPr>
          <w:lang w:val="de-CH"/>
        </w:rPr>
        <w:t xml:space="preserve">Vorsorgeeinrichtungen. Ihr durchschnittlicher Deckungsgrad, der Ende 2014 bei ungefähr 115% lag, ging je nach Anlageumfang in nicht abgesicherte Währungen und Schweizer Aktien bis zu 4% bis 5% zurück. Die auf dem Vermögen der 2. Säule verzeichneten Verluste werden auf CHF 20 bis 30 Milliarden geschätzt, was ungefähr 50% der im Jahr 2014 verzeichneten Performance entspricht. </w:t>
      </w:r>
    </w:p>
    <w:p w:rsidR="00BA20D2" w:rsidRDefault="00BA20D2" w:rsidP="00BA20D2">
      <w:pPr>
        <w:widowControl w:val="0"/>
        <w:spacing w:line="288" w:lineRule="auto"/>
        <w:ind w:right="425"/>
        <w:rPr>
          <w:lang w:val="de-CH"/>
        </w:rPr>
      </w:pPr>
    </w:p>
    <w:p w:rsidR="00DF2570" w:rsidRDefault="00BA20D2" w:rsidP="00DF2570">
      <w:pPr>
        <w:widowControl w:val="0"/>
        <w:spacing w:line="288" w:lineRule="auto"/>
        <w:ind w:right="425"/>
        <w:rPr>
          <w:lang w:val="de-CH"/>
        </w:rPr>
      </w:pPr>
      <w:r w:rsidRPr="00BA20D2">
        <w:rPr>
          <w:lang w:val="de-CH"/>
        </w:rPr>
        <w:t xml:space="preserve">Seit dem SNB-Entscheid wurden bereits zahlreiche, zuweilen dramatisierende oder widersprüchliche Kommentare veröffentlicht, wodurch die angenehme Stille von Ende 2014 ein abruptes Ende fand und die 2. Säule beunruhigt wurde. Unsere obligatorische 2. Säule feiert 2015 ihr 30-Jahr-Jubiläum. Die gesammelten Erfahrungen sollten es ermöglichen, Überreaktionen zu vermeiden und nicht dem allgemeinen Pessimismus zu erliegen. Obwohl die 2. Säule unweigerlich kurzfristigen Schwankungen ausgesetzt ist, liegt ihr eine langfristige Perspektive zu Grunde. </w:t>
      </w:r>
    </w:p>
    <w:p w:rsidR="00DF2570" w:rsidRDefault="00DF2570" w:rsidP="00DF2570">
      <w:pPr>
        <w:widowControl w:val="0"/>
        <w:spacing w:line="288" w:lineRule="auto"/>
        <w:ind w:right="425"/>
        <w:rPr>
          <w:lang w:val="de-CH"/>
        </w:rPr>
      </w:pPr>
    </w:p>
    <w:p w:rsidR="00DF2570" w:rsidRPr="00DF2570" w:rsidRDefault="00BA20D2" w:rsidP="00DF2570">
      <w:pPr>
        <w:widowControl w:val="0"/>
        <w:spacing w:line="288" w:lineRule="auto"/>
        <w:ind w:right="425"/>
        <w:rPr>
          <w:b/>
          <w:lang w:val="de-CH"/>
        </w:rPr>
      </w:pPr>
      <w:r w:rsidRPr="00DF2570">
        <w:rPr>
          <w:b/>
          <w:lang w:val="de-CH"/>
        </w:rPr>
        <w:t xml:space="preserve">Wie sieht die Lage einige Wochen nach dem SNB-Entscheid aus? </w:t>
      </w:r>
    </w:p>
    <w:p w:rsidR="00DF2570" w:rsidRDefault="00BA20D2" w:rsidP="00DF2570">
      <w:pPr>
        <w:widowControl w:val="0"/>
        <w:spacing w:line="288" w:lineRule="auto"/>
        <w:ind w:right="425"/>
        <w:rPr>
          <w:lang w:val="de-CH"/>
        </w:rPr>
      </w:pPr>
      <w:r w:rsidRPr="00BA20D2">
        <w:rPr>
          <w:lang w:val="de-CH"/>
        </w:rPr>
        <w:t xml:space="preserve">Glücklicherweise haben die Verantwortlichen der Vorsorgeeinrichtungen der allgemeinen Verzweiflung nicht nachgegeben, hat sich die Korrektur der Wechselkurse stabilisiert und </w:t>
      </w:r>
      <w:r>
        <w:rPr>
          <w:lang w:val="de-CH"/>
        </w:rPr>
        <w:t xml:space="preserve">Aon Hewitt </w:t>
      </w:r>
      <w:r w:rsidRPr="00BA20D2">
        <w:rPr>
          <w:lang w:val="de-CH"/>
        </w:rPr>
        <w:t xml:space="preserve">Retirement &amp; Investment </w:t>
      </w:r>
      <w:r w:rsidR="00DF2570">
        <w:rPr>
          <w:lang w:val="de-CH"/>
        </w:rPr>
        <w:t xml:space="preserve"> </w:t>
      </w:r>
      <w:r w:rsidRPr="00BA20D2">
        <w:rPr>
          <w:lang w:val="de-CH"/>
        </w:rPr>
        <w:t>der SMI inzwischen wieder Farbe angenommen. Die Entwicklung der nächsten Monate kann natürlich nicht vorausgesagt</w:t>
      </w:r>
      <w:r>
        <w:rPr>
          <w:lang w:val="de-CH"/>
        </w:rPr>
        <w:t xml:space="preserve"> </w:t>
      </w:r>
      <w:r w:rsidRPr="00BA20D2">
        <w:rPr>
          <w:lang w:val="de-CH"/>
        </w:rPr>
        <w:t xml:space="preserve">werden. Nachdem sich der </w:t>
      </w:r>
      <w:r w:rsidR="00DF2570">
        <w:rPr>
          <w:lang w:val="de-CH"/>
        </w:rPr>
        <w:t xml:space="preserve">Sturm nun etwas gelegt hat, ist </w:t>
      </w:r>
      <w:r w:rsidRPr="00BA20D2">
        <w:rPr>
          <w:lang w:val="de-CH"/>
        </w:rPr>
        <w:t xml:space="preserve">es jedoch ratsam, die Situation in aller Ruhe zu analysieren und keine überstürzten Entscheidungen zu treffen. </w:t>
      </w:r>
    </w:p>
    <w:p w:rsidR="00DF2570" w:rsidRDefault="00DF2570" w:rsidP="00DF2570">
      <w:pPr>
        <w:widowControl w:val="0"/>
        <w:spacing w:line="288" w:lineRule="auto"/>
        <w:ind w:right="425"/>
        <w:rPr>
          <w:lang w:val="de-CH"/>
        </w:rPr>
      </w:pPr>
    </w:p>
    <w:p w:rsidR="00DF2570" w:rsidRDefault="00BA20D2" w:rsidP="00DF2570">
      <w:pPr>
        <w:widowControl w:val="0"/>
        <w:spacing w:line="288" w:lineRule="auto"/>
        <w:ind w:right="425"/>
        <w:rPr>
          <w:lang w:val="de-CH"/>
        </w:rPr>
      </w:pPr>
      <w:r w:rsidRPr="00BA20D2">
        <w:rPr>
          <w:lang w:val="de-CH"/>
        </w:rPr>
        <w:t>Neben der Volatilität der M</w:t>
      </w:r>
      <w:r w:rsidR="00DF2570">
        <w:rPr>
          <w:lang w:val="de-CH"/>
        </w:rPr>
        <w:t xml:space="preserve">ärkte und der Währungen sehen </w:t>
      </w:r>
      <w:r w:rsidRPr="00BA20D2">
        <w:rPr>
          <w:lang w:val="de-CH"/>
        </w:rPr>
        <w:t>sich die Vorso</w:t>
      </w:r>
      <w:r w:rsidR="00DF2570">
        <w:rPr>
          <w:lang w:val="de-CH"/>
        </w:rPr>
        <w:t xml:space="preserve">rgeeinrichtungen mit den tiefen </w:t>
      </w:r>
      <w:r w:rsidRPr="00BA20D2">
        <w:rPr>
          <w:lang w:val="de-CH"/>
        </w:rPr>
        <w:t xml:space="preserve">Zinssätzen konfrontiert. Ende Januar 2015 sind die Renditen der 10-jährigen Bundesobligationen negativ und einige Bankinstitute erheben Negativzinsen auf den Liquiditäten der Vorsorgeeinrichtungen. Die wirtschaftlichen Aussichten von exportorientierten Unternehmen sowie der Tourismusindustrie haben sich aufgrund des starken Frankens verdüstert. Diese Konjunkturlage hat direkte Auswirkungen auf die Renditeerwartungen der Anlagestrategie, und die Möglichkeiten der Reinvestition sind begrenzt. Die erforderliche Mindestrendite, die von den Vorsorgeeinrichtungen erzielt werden muss, ist folglich neuem Druck ausgesetzt, was sich möglicherweise auf die technischen Parameter auswirken könnte. </w:t>
      </w:r>
    </w:p>
    <w:p w:rsidR="00DF2570" w:rsidRDefault="00DF2570" w:rsidP="00DF2570">
      <w:pPr>
        <w:widowControl w:val="0"/>
        <w:spacing w:line="288" w:lineRule="auto"/>
        <w:ind w:right="425"/>
        <w:rPr>
          <w:lang w:val="de-CH"/>
        </w:rPr>
      </w:pPr>
    </w:p>
    <w:p w:rsidR="00DF2570" w:rsidRDefault="00BA20D2" w:rsidP="00DF2570">
      <w:pPr>
        <w:widowControl w:val="0"/>
        <w:spacing w:line="288" w:lineRule="auto"/>
        <w:ind w:right="425"/>
        <w:rPr>
          <w:b/>
          <w:lang w:val="de-CH"/>
        </w:rPr>
      </w:pPr>
      <w:r w:rsidRPr="00DF2570">
        <w:rPr>
          <w:b/>
          <w:lang w:val="de-CH"/>
        </w:rPr>
        <w:t xml:space="preserve">Was ist somit zu tun? </w:t>
      </w:r>
    </w:p>
    <w:p w:rsidR="00DF2570" w:rsidRDefault="00BA20D2" w:rsidP="00DF2570">
      <w:pPr>
        <w:widowControl w:val="0"/>
        <w:spacing w:line="288" w:lineRule="auto"/>
        <w:ind w:right="425"/>
        <w:rPr>
          <w:lang w:val="de-CH"/>
        </w:rPr>
      </w:pPr>
      <w:r w:rsidRPr="00BA20D2">
        <w:rPr>
          <w:lang w:val="de-CH"/>
        </w:rPr>
        <w:t xml:space="preserve">Zuerst muss - falls nicht bereits erfolgt - abgeschätzt werden, welche Auswirkungen der SNB-Entscheid auf die finanzielle Lage der Vorsorgeeinrichtung hat. Danach empfiehlt es sich, verschiedene Analysen durchzuführen und dabei insbesondere: </w:t>
      </w:r>
    </w:p>
    <w:p w:rsidR="00DF2570" w:rsidRPr="00DF2570" w:rsidRDefault="00BA20D2" w:rsidP="00DF2570">
      <w:pPr>
        <w:pStyle w:val="Listenabsatz"/>
        <w:widowControl w:val="0"/>
        <w:numPr>
          <w:ilvl w:val="0"/>
          <w:numId w:val="4"/>
        </w:numPr>
        <w:spacing w:line="288" w:lineRule="auto"/>
        <w:ind w:right="425"/>
        <w:rPr>
          <w:lang w:val="de-CH"/>
        </w:rPr>
      </w:pPr>
      <w:r w:rsidRPr="00DF2570">
        <w:rPr>
          <w:lang w:val="de-CH"/>
        </w:rPr>
        <w:t xml:space="preserve">die Anlagestrategie zu überprüfen, insbesondere in Bezug auf das Währungsengagement und allfällige Diversifizierungsmöglichkeiten; </w:t>
      </w:r>
    </w:p>
    <w:p w:rsidR="00DF2570" w:rsidRDefault="00BA20D2" w:rsidP="00DF2570">
      <w:pPr>
        <w:pStyle w:val="Listenabsatz"/>
        <w:widowControl w:val="0"/>
        <w:numPr>
          <w:ilvl w:val="0"/>
          <w:numId w:val="4"/>
        </w:numPr>
        <w:spacing w:line="288" w:lineRule="auto"/>
        <w:ind w:right="425"/>
        <w:rPr>
          <w:lang w:val="de-CH"/>
        </w:rPr>
      </w:pPr>
      <w:r w:rsidRPr="00DF2570">
        <w:rPr>
          <w:lang w:val="de-CH"/>
        </w:rPr>
        <w:t xml:space="preserve">die Zielgrösse der Wertschwankungsreserve angesichts des aktuellen Umfelds in Bezug auf Renditeannahmen, Volatilität und Sicherheitsgrad zu überdenken; </w:t>
      </w:r>
    </w:p>
    <w:p w:rsidR="00DF2570" w:rsidRDefault="00BA20D2" w:rsidP="00DF2570">
      <w:pPr>
        <w:pStyle w:val="Listenabsatz"/>
        <w:widowControl w:val="0"/>
        <w:numPr>
          <w:ilvl w:val="0"/>
          <w:numId w:val="4"/>
        </w:numPr>
        <w:spacing w:line="288" w:lineRule="auto"/>
        <w:ind w:right="425"/>
        <w:rPr>
          <w:lang w:val="de-CH"/>
        </w:rPr>
      </w:pPr>
      <w:r w:rsidRPr="00DF2570">
        <w:rPr>
          <w:lang w:val="de-CH"/>
        </w:rPr>
        <w:t xml:space="preserve">die Entwicklung der Vorsorgeeinrichtung aufmerksam zu verfolgen und im Laufe des Jahres Schätzungen des Deckungsgrades vorzunehmen; </w:t>
      </w:r>
    </w:p>
    <w:p w:rsidR="00DF2570" w:rsidRDefault="00BA20D2" w:rsidP="00DF2570">
      <w:pPr>
        <w:pStyle w:val="Listenabsatz"/>
        <w:widowControl w:val="0"/>
        <w:numPr>
          <w:ilvl w:val="0"/>
          <w:numId w:val="4"/>
        </w:numPr>
        <w:spacing w:line="288" w:lineRule="auto"/>
        <w:ind w:right="425"/>
        <w:rPr>
          <w:lang w:val="de-CH"/>
        </w:rPr>
      </w:pPr>
      <w:r w:rsidRPr="00DF2570">
        <w:rPr>
          <w:lang w:val="de-CH"/>
        </w:rPr>
        <w:t xml:space="preserve">die Renditeerwartungen sowie die erforderliche Rendite neu zu evaluieren und bei einem Ungleichgewicht zwischen den beiden Werten geeignete Massnahmen festzulegen; </w:t>
      </w:r>
    </w:p>
    <w:p w:rsidR="00DF2570" w:rsidRDefault="00BA20D2" w:rsidP="00DF2570">
      <w:pPr>
        <w:pStyle w:val="Listenabsatz"/>
        <w:widowControl w:val="0"/>
        <w:numPr>
          <w:ilvl w:val="0"/>
          <w:numId w:val="4"/>
        </w:numPr>
        <w:spacing w:line="288" w:lineRule="auto"/>
        <w:ind w:right="425"/>
        <w:rPr>
          <w:lang w:val="de-CH"/>
        </w:rPr>
      </w:pPr>
      <w:r w:rsidRPr="00DF2570">
        <w:rPr>
          <w:lang w:val="de-CH"/>
        </w:rPr>
        <w:t xml:space="preserve">zu prüfen, ob die Vorsorgeeinrichtung in der Lage ist, auf ungünstige Entwicklungen zu reagieren und für verschiedene Situationen geeignete Massnahmen zu erwägen; </w:t>
      </w:r>
    </w:p>
    <w:p w:rsidR="003F3E28" w:rsidRPr="003F3E28" w:rsidRDefault="00BA20D2" w:rsidP="003F3E28">
      <w:pPr>
        <w:pStyle w:val="Listenabsatz"/>
        <w:widowControl w:val="0"/>
        <w:numPr>
          <w:ilvl w:val="0"/>
          <w:numId w:val="4"/>
        </w:numPr>
        <w:spacing w:line="288" w:lineRule="auto"/>
        <w:ind w:left="709" w:right="425" w:hanging="349"/>
        <w:rPr>
          <w:lang w:val="de-CH"/>
        </w:rPr>
      </w:pPr>
      <w:r w:rsidRPr="00391DE4">
        <w:rPr>
          <w:lang w:val="de-CH"/>
        </w:rPr>
        <w:t>zu überprüfen, ob die technischen Parameter unter Berücks</w:t>
      </w:r>
      <w:r w:rsidR="00E95744" w:rsidRPr="00391DE4">
        <w:rPr>
          <w:lang w:val="de-CH"/>
        </w:rPr>
        <w:t>ichtigung des aktuellen Umfelds</w:t>
      </w:r>
      <w:r w:rsidR="00391DE4">
        <w:rPr>
          <w:lang w:val="de-CH"/>
        </w:rPr>
        <w:t xml:space="preserve"> </w:t>
      </w:r>
      <w:r w:rsidRPr="00391DE4">
        <w:rPr>
          <w:lang w:val="de-CH"/>
        </w:rPr>
        <w:t>angemessen sind und gegebenenfa</w:t>
      </w:r>
      <w:r w:rsidR="00E95744" w:rsidRPr="00391DE4">
        <w:rPr>
          <w:lang w:val="de-CH"/>
        </w:rPr>
        <w:t>lls eine Anpassung vorzunehmen.</w:t>
      </w:r>
      <w:r w:rsidR="00E95744" w:rsidRPr="00391DE4">
        <w:rPr>
          <w:lang w:val="de-CH"/>
        </w:rPr>
        <w:br/>
      </w:r>
    </w:p>
    <w:p w:rsidR="004A09BA" w:rsidRDefault="00DF2570" w:rsidP="004A09BA">
      <w:pPr>
        <w:widowControl w:val="0"/>
        <w:spacing w:line="288" w:lineRule="auto"/>
        <w:ind w:right="425"/>
        <w:rPr>
          <w:lang w:val="de-CH"/>
        </w:rPr>
      </w:pPr>
      <w:r w:rsidRPr="00391DE4">
        <w:rPr>
          <w:lang w:val="de-CH"/>
        </w:rPr>
        <w:t xml:space="preserve">Es gilt, bei der Verwaltung der Vorsorgeeinrichtung weiterhin die Ruhe zu bewahren, gleichzeitig aber auch ungünstige Szenarien vorwegzunehmen sowie entsprechende Massnahmen in Erwägung zu ziehen, um eine rasche Reaktion zu ermöglichen. </w:t>
      </w:r>
      <w:r w:rsidR="00BA20D2" w:rsidRPr="00391DE4">
        <w:rPr>
          <w:lang w:val="de-CH"/>
        </w:rPr>
        <w:t>Angesichts der Vielfältigkeit</w:t>
      </w:r>
      <w:r w:rsidRPr="00391DE4">
        <w:rPr>
          <w:lang w:val="de-CH"/>
        </w:rPr>
        <w:t xml:space="preserve"> der Vorsorgeeinrichtungen gibt </w:t>
      </w:r>
      <w:r w:rsidR="00BA20D2" w:rsidRPr="00391DE4">
        <w:rPr>
          <w:lang w:val="de-CH"/>
        </w:rPr>
        <w:t>es keine allgemeingültige Antwort. Besondere Vorsicht gilt für Vorsorgeeinrichtungen, die ein hohes Ausmass an Verpflichtungen gegenüber den Rentenbe</w:t>
      </w:r>
      <w:r w:rsidRPr="00391DE4">
        <w:rPr>
          <w:lang w:val="de-CH"/>
        </w:rPr>
        <w:t xml:space="preserve">zügern oder eine grosse Anzahl </w:t>
      </w:r>
      <w:r w:rsidR="00BA20D2" w:rsidRPr="00391DE4">
        <w:rPr>
          <w:lang w:val="de-CH"/>
        </w:rPr>
        <w:t xml:space="preserve">aktiver Versicherter, die kurz vor der Pensionierung stehen, aufweisen. Ebenso für die wenigen Vorsorgeeinrichtungen, die per 31.12.2014 eine ungünstige finanzielle Lage ausweisen. </w:t>
      </w:r>
      <w:bookmarkEnd w:id="0"/>
      <w:bookmarkEnd w:id="1"/>
      <w:bookmarkEnd w:id="2"/>
      <w:bookmarkEnd w:id="3"/>
      <w:bookmarkEnd w:id="4"/>
      <w:bookmarkEnd w:id="5"/>
    </w:p>
    <w:p w:rsidR="004A09BA" w:rsidRDefault="004A09BA" w:rsidP="004A09BA">
      <w:pPr>
        <w:widowControl w:val="0"/>
        <w:spacing w:line="288" w:lineRule="auto"/>
        <w:ind w:right="425"/>
        <w:rPr>
          <w:lang w:val="de-CH"/>
        </w:rPr>
      </w:pPr>
    </w:p>
    <w:p w:rsidR="004A09BA" w:rsidRPr="004A09BA" w:rsidRDefault="004A09BA" w:rsidP="004A09BA">
      <w:pPr>
        <w:widowControl w:val="0"/>
        <w:spacing w:line="288" w:lineRule="auto"/>
        <w:ind w:right="425"/>
        <w:rPr>
          <w:lang w:val="de-CH"/>
        </w:rPr>
      </w:pPr>
    </w:p>
    <w:tbl>
      <w:tblPr>
        <w:tblW w:w="9072" w:type="dxa"/>
        <w:tblInd w:w="108" w:type="dxa"/>
        <w:tblLayout w:type="fixed"/>
        <w:tblLook w:val="00A0"/>
      </w:tblPr>
      <w:tblGrid>
        <w:gridCol w:w="2127"/>
        <w:gridCol w:w="6945"/>
      </w:tblGrid>
      <w:tr w:rsidR="004A09BA" w:rsidRPr="00CF79B9">
        <w:trPr>
          <w:trHeight w:val="1843"/>
        </w:trPr>
        <w:tc>
          <w:tcPr>
            <w:tcW w:w="2127" w:type="dxa"/>
          </w:tcPr>
          <w:p w:rsidR="004A09BA" w:rsidRPr="00124AF2" w:rsidRDefault="00886763" w:rsidP="00FC6215">
            <w:pPr>
              <w:widowControl w:val="0"/>
              <w:tabs>
                <w:tab w:val="left" w:pos="3969"/>
              </w:tabs>
              <w:spacing w:line="220" w:lineRule="atLeast"/>
              <w:ind w:right="176"/>
              <w:rPr>
                <w:rFonts w:cs="Calibri"/>
                <w:sz w:val="16"/>
                <w:szCs w:val="26"/>
                <w:lang w:val="de-CH"/>
              </w:rPr>
            </w:pPr>
            <w:r>
              <w:rPr>
                <w:rFonts w:cs="Calibri"/>
                <w:noProof/>
                <w:sz w:val="16"/>
                <w:szCs w:val="26"/>
                <w:lang w:val="de-DE" w:eastAsia="de-DE" w:bidi="ar-SA"/>
              </w:rPr>
              <w:drawing>
                <wp:inline distT="0" distB="0" distL="0" distR="0">
                  <wp:extent cx="1210945" cy="1532255"/>
                  <wp:effectExtent l="25400" t="0" r="8255" b="0"/>
                  <wp:docPr id="1" name="Bild 1" descr="::::::::Desktop:Bildschirmfoto 2015-03-04 um 09.37.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5-03-04 um 09.37.14.png"/>
                          <pic:cNvPicPr>
                            <a:picLocks noChangeAspect="1" noChangeArrowheads="1"/>
                          </pic:cNvPicPr>
                        </pic:nvPicPr>
                        <pic:blipFill>
                          <a:blip r:embed="rId6"/>
                          <a:srcRect/>
                          <a:stretch>
                            <a:fillRect/>
                          </a:stretch>
                        </pic:blipFill>
                        <pic:spPr bwMode="auto">
                          <a:xfrm>
                            <a:off x="0" y="0"/>
                            <a:ext cx="1210945" cy="1532255"/>
                          </a:xfrm>
                          <a:prstGeom prst="rect">
                            <a:avLst/>
                          </a:prstGeom>
                          <a:noFill/>
                          <a:ln w="9525">
                            <a:noFill/>
                            <a:miter lim="800000"/>
                            <a:headEnd/>
                            <a:tailEnd/>
                          </a:ln>
                        </pic:spPr>
                      </pic:pic>
                    </a:graphicData>
                  </a:graphic>
                </wp:inline>
              </w:drawing>
            </w:r>
          </w:p>
        </w:tc>
        <w:tc>
          <w:tcPr>
            <w:tcW w:w="6945" w:type="dxa"/>
          </w:tcPr>
          <w:p w:rsidR="004A09BA" w:rsidRPr="00C3581D" w:rsidRDefault="004A09BA" w:rsidP="00FC6215">
            <w:pPr>
              <w:widowControl w:val="0"/>
              <w:spacing w:line="220" w:lineRule="atLeast"/>
              <w:ind w:left="34" w:right="742"/>
              <w:rPr>
                <w:rFonts w:cs="Calibri"/>
                <w:sz w:val="16"/>
                <w:szCs w:val="26"/>
                <w:lang w:val="de-CH"/>
              </w:rPr>
            </w:pPr>
          </w:p>
          <w:p w:rsidR="004A09BA" w:rsidRPr="00C3581D" w:rsidRDefault="004A09BA" w:rsidP="00FC6215">
            <w:pPr>
              <w:widowControl w:val="0"/>
              <w:spacing w:line="220" w:lineRule="atLeast"/>
              <w:ind w:left="34" w:right="742"/>
              <w:rPr>
                <w:rFonts w:cs="Calibri"/>
                <w:sz w:val="16"/>
                <w:szCs w:val="26"/>
                <w:lang w:val="de-CH"/>
              </w:rPr>
            </w:pPr>
          </w:p>
          <w:p w:rsidR="004A09BA" w:rsidRPr="00C3581D" w:rsidRDefault="004A09BA" w:rsidP="00FC6215">
            <w:pPr>
              <w:widowControl w:val="0"/>
              <w:spacing w:line="220" w:lineRule="atLeast"/>
              <w:ind w:left="34" w:right="742"/>
              <w:rPr>
                <w:rFonts w:cs="Calibri"/>
                <w:sz w:val="16"/>
                <w:szCs w:val="26"/>
                <w:lang w:val="de-CH"/>
              </w:rPr>
            </w:pPr>
          </w:p>
          <w:p w:rsidR="004A09BA" w:rsidRDefault="004A09BA" w:rsidP="00FC6215">
            <w:pPr>
              <w:widowControl w:val="0"/>
              <w:spacing w:line="220" w:lineRule="atLeast"/>
              <w:ind w:left="34" w:right="742"/>
              <w:rPr>
                <w:rFonts w:cs="Calibri"/>
                <w:sz w:val="16"/>
                <w:szCs w:val="26"/>
                <w:lang w:val="de-CH"/>
              </w:rPr>
            </w:pPr>
          </w:p>
          <w:p w:rsidR="004A09BA" w:rsidRDefault="004A09BA" w:rsidP="00FC6215">
            <w:pPr>
              <w:widowControl w:val="0"/>
              <w:spacing w:line="220" w:lineRule="atLeast"/>
              <w:ind w:left="34" w:right="742"/>
              <w:rPr>
                <w:rFonts w:cs="Calibri"/>
                <w:sz w:val="16"/>
                <w:szCs w:val="26"/>
                <w:lang w:val="de-CH"/>
              </w:rPr>
            </w:pPr>
          </w:p>
          <w:p w:rsidR="004A09BA" w:rsidRPr="00C3581D" w:rsidRDefault="004A09BA" w:rsidP="00FC6215">
            <w:pPr>
              <w:widowControl w:val="0"/>
              <w:spacing w:line="220" w:lineRule="atLeast"/>
              <w:ind w:left="34" w:right="742"/>
              <w:rPr>
                <w:rFonts w:cs="Calibri"/>
                <w:sz w:val="16"/>
                <w:szCs w:val="26"/>
                <w:lang w:val="de-CH"/>
              </w:rPr>
            </w:pPr>
          </w:p>
          <w:p w:rsidR="004A09BA" w:rsidRPr="00C3581D" w:rsidRDefault="004A09BA" w:rsidP="00FC6215">
            <w:pPr>
              <w:widowControl w:val="0"/>
              <w:spacing w:line="220" w:lineRule="atLeast"/>
              <w:ind w:left="34" w:right="742"/>
              <w:rPr>
                <w:rFonts w:cs="Calibri"/>
                <w:sz w:val="16"/>
                <w:szCs w:val="26"/>
                <w:lang w:val="de-CH"/>
              </w:rPr>
            </w:pPr>
          </w:p>
          <w:p w:rsidR="004A09BA" w:rsidRPr="00C3581D" w:rsidRDefault="004A09BA" w:rsidP="00FC6215">
            <w:pPr>
              <w:widowControl w:val="0"/>
              <w:spacing w:line="220" w:lineRule="atLeast"/>
              <w:ind w:left="34" w:right="742"/>
              <w:rPr>
                <w:rFonts w:cs="Calibri"/>
                <w:sz w:val="16"/>
                <w:szCs w:val="26"/>
                <w:lang w:val="de-CH"/>
              </w:rPr>
            </w:pPr>
          </w:p>
          <w:p w:rsidR="004A09BA" w:rsidRPr="004A09BA" w:rsidRDefault="004A09BA" w:rsidP="00FD0F00">
            <w:pPr>
              <w:widowControl w:val="0"/>
              <w:spacing w:line="220" w:lineRule="atLeast"/>
              <w:ind w:left="34" w:right="742"/>
              <w:rPr>
                <w:rFonts w:cs="Calibri"/>
                <w:b/>
                <w:sz w:val="16"/>
                <w:szCs w:val="26"/>
                <w:lang w:val="en-US"/>
              </w:rPr>
            </w:pPr>
            <w:r w:rsidRPr="004A09BA">
              <w:rPr>
                <w:b/>
                <w:sz w:val="16"/>
                <w:lang w:val="de-CH"/>
              </w:rPr>
              <w:t>Oliver Vaccaro, Partner und Swiss Managing Director’s Deputy, Aon Hewitt (</w:t>
            </w:r>
            <w:r w:rsidR="00FD0F00">
              <w:rPr>
                <w:b/>
                <w:sz w:val="16"/>
                <w:lang w:val="de-CH"/>
              </w:rPr>
              <w:t>Schweiz</w:t>
            </w:r>
            <w:r w:rsidRPr="004A09BA">
              <w:rPr>
                <w:b/>
                <w:sz w:val="16"/>
                <w:lang w:val="de-CH"/>
              </w:rPr>
              <w:t>) AG</w:t>
            </w:r>
          </w:p>
        </w:tc>
      </w:tr>
    </w:tbl>
    <w:p w:rsidR="000442CA" w:rsidRPr="00BE05B9" w:rsidRDefault="000442CA" w:rsidP="000442CA">
      <w:pPr>
        <w:spacing w:line="276" w:lineRule="auto"/>
        <w:rPr>
          <w:rFonts w:eastAsia="Times New Roman"/>
          <w:lang w:val="de-CH"/>
        </w:rPr>
      </w:pPr>
    </w:p>
    <w:p w:rsidR="000442CA" w:rsidRPr="00BE05B9" w:rsidRDefault="000442CA" w:rsidP="000442CA">
      <w:pPr>
        <w:spacing w:line="276" w:lineRule="auto"/>
        <w:rPr>
          <w:rFonts w:eastAsia="Times New Roman"/>
          <w:lang w:val="de-CH"/>
        </w:rPr>
      </w:pPr>
      <w:r w:rsidRPr="00BE05B9">
        <w:rPr>
          <w:b/>
          <w:sz w:val="16"/>
          <w:szCs w:val="16"/>
          <w:lang w:val="de-CH"/>
        </w:rPr>
        <w:t xml:space="preserve">Über Aon Hewitt </w:t>
      </w:r>
    </w:p>
    <w:p w:rsidR="000442CA" w:rsidRPr="00BE05B9" w:rsidRDefault="000442CA" w:rsidP="000442CA">
      <w:pPr>
        <w:rPr>
          <w:sz w:val="16"/>
          <w:szCs w:val="16"/>
          <w:lang w:val="de-CH"/>
        </w:rPr>
      </w:pPr>
      <w:r w:rsidRPr="00BE05B9">
        <w:rPr>
          <w:sz w:val="16"/>
          <w:szCs w:val="16"/>
          <w:lang w:val="de-CH"/>
        </w:rPr>
        <w:t>Aon Hewitt ist weltweit führender Anbieter von Human Resources Lösungen.</w:t>
      </w:r>
      <w:r w:rsidRPr="00BE05B9">
        <w:rPr>
          <w:color w:val="000000"/>
          <w:sz w:val="16"/>
          <w:szCs w:val="16"/>
          <w:lang w:val="de-CH"/>
        </w:rPr>
        <w:t xml:space="preserve"> </w:t>
      </w:r>
      <w:r w:rsidRPr="00BE05B9">
        <w:rPr>
          <w:sz w:val="16"/>
          <w:szCs w:val="16"/>
          <w:lang w:val="de-CH"/>
        </w:rPr>
        <w:t>Das Unternehmen unterstützt seine Kunden bei der Lösung von komplexen Fragen rund um Benefits, Talente und damit verbundene finanzielle Herausforderungen und zur Verbesserung ihrer Geschäfts</w:t>
      </w:r>
      <w:r w:rsidRPr="00BE05B9">
        <w:rPr>
          <w:sz w:val="16"/>
          <w:szCs w:val="16"/>
          <w:lang w:val="de-CH"/>
        </w:rPr>
        <w:softHyphen/>
        <w:t>ergeb</w:t>
      </w:r>
      <w:r w:rsidRPr="00BE05B9">
        <w:rPr>
          <w:sz w:val="16"/>
          <w:szCs w:val="16"/>
          <w:lang w:val="de-CH"/>
        </w:rPr>
        <w:softHyphen/>
        <w:t>nisse. Aon Hewitt entwickelt, implementiert, kommuniziert und verwaltet eine breite Palette von Strategien in den Bereichen Human Resources, berufliche Vorsorge, Investment Management, Krankenkasse, Vergütung und Talent-Management.</w:t>
      </w:r>
      <w:r w:rsidRPr="00BE05B9">
        <w:rPr>
          <w:color w:val="000000"/>
          <w:sz w:val="16"/>
          <w:szCs w:val="16"/>
          <w:lang w:val="de-CH"/>
        </w:rPr>
        <w:t xml:space="preserve"> </w:t>
      </w:r>
      <w:r w:rsidRPr="00BE05B9">
        <w:rPr>
          <w:sz w:val="16"/>
          <w:szCs w:val="16"/>
          <w:lang w:val="de-CH"/>
        </w:rPr>
        <w:t>Aon Hewitt ist weltweit mit 29'000 Mitarbeitern in 90 Ländern vertreten.</w:t>
      </w:r>
      <w:r w:rsidRPr="00BE05B9">
        <w:rPr>
          <w:color w:val="000000"/>
          <w:sz w:val="16"/>
          <w:szCs w:val="16"/>
          <w:lang w:val="de-CH"/>
        </w:rPr>
        <w:t xml:space="preserve"> </w:t>
      </w:r>
      <w:r w:rsidRPr="00BE05B9">
        <w:rPr>
          <w:sz w:val="16"/>
          <w:szCs w:val="16"/>
          <w:lang w:val="de-CH"/>
        </w:rPr>
        <w:t>In der Schweiz engagieren sich 180 Mitarbeiter an den Standorten von Aon Hewitt in Neuchâtel, Nyon und Zürich.</w:t>
      </w:r>
      <w:r w:rsidRPr="00BE05B9">
        <w:rPr>
          <w:color w:val="000000"/>
          <w:sz w:val="16"/>
          <w:szCs w:val="16"/>
          <w:lang w:val="de-CH"/>
        </w:rPr>
        <w:t xml:space="preserve"> </w:t>
      </w:r>
      <w:r w:rsidRPr="00BE05B9">
        <w:rPr>
          <w:sz w:val="16"/>
          <w:szCs w:val="16"/>
          <w:lang w:val="de-CH"/>
        </w:rPr>
        <w:t>Weitere Informationen über Aon Hewitt finden Sie unter www.aonhewitt.ch.</w:t>
      </w:r>
    </w:p>
    <w:p w:rsidR="000442CA" w:rsidRPr="00BE05B9" w:rsidRDefault="000442CA" w:rsidP="000442CA">
      <w:pPr>
        <w:rPr>
          <w:b/>
          <w:sz w:val="16"/>
          <w:szCs w:val="16"/>
          <w:lang w:val="de-CH"/>
        </w:rPr>
      </w:pPr>
    </w:p>
    <w:p w:rsidR="000442CA" w:rsidRPr="00BE05B9" w:rsidRDefault="000442CA" w:rsidP="000442CA">
      <w:pPr>
        <w:rPr>
          <w:b/>
          <w:sz w:val="16"/>
          <w:szCs w:val="16"/>
          <w:lang w:val="de-CH"/>
        </w:rPr>
      </w:pPr>
      <w:r w:rsidRPr="00CF6AB8">
        <w:rPr>
          <w:b/>
          <w:sz w:val="16"/>
          <w:szCs w:val="16"/>
          <w:lang w:val="de-CH"/>
        </w:rPr>
        <w:t>Über Aon</w:t>
      </w:r>
    </w:p>
    <w:p w:rsidR="000442CA" w:rsidRPr="00BE05B9" w:rsidRDefault="000442CA" w:rsidP="000442CA">
      <w:pPr>
        <w:rPr>
          <w:rFonts w:eastAsia="Times New Roman"/>
          <w:sz w:val="16"/>
          <w:szCs w:val="16"/>
          <w:lang w:val="de-CH"/>
        </w:rPr>
      </w:pPr>
      <w:r w:rsidRPr="00BE05B9">
        <w:rPr>
          <w:rFonts w:eastAsia="Times New Roman"/>
          <w:sz w:val="16"/>
          <w:szCs w:val="16"/>
          <w:lang w:val="de-CH"/>
        </w:rPr>
        <w:t xml:space="preserve">Aon plc (NYSE: AON) ist der führende globale Dienstleister für Risikomanagement sowie Versicherungs- und Rückversicherungsmakler, und Berater für Human Resources und Outsourcing von Dienstleistungen. Mit mehr als 66'000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7" w:history="1">
        <w:r>
          <w:rPr>
            <w:rStyle w:val="Link"/>
            <w:rFonts w:eastAsia="Times New Roman"/>
            <w:sz w:val="16"/>
            <w:szCs w:val="16"/>
            <w:lang w:val="de-CH"/>
          </w:rPr>
          <w:t>http://www.aon.com</w:t>
        </w:r>
      </w:hyperlink>
      <w:r w:rsidRPr="00BE05B9">
        <w:rPr>
          <w:rFonts w:eastAsia="Times New Roman"/>
          <w:sz w:val="16"/>
          <w:szCs w:val="16"/>
          <w:lang w:val="de-CH"/>
        </w:rPr>
        <w:t xml:space="preserve">  und unter </w:t>
      </w:r>
      <w:hyperlink r:id="rId8" w:history="1">
        <w:r>
          <w:rPr>
            <w:rStyle w:val="Link"/>
            <w:rFonts w:eastAsia="Times New Roman"/>
            <w:sz w:val="16"/>
            <w:szCs w:val="16"/>
            <w:lang w:val="de-CH"/>
          </w:rPr>
          <w:t>http://www.aon.com/manchesterunited</w:t>
        </w:r>
      </w:hyperlink>
      <w:r w:rsidRPr="00BE05B9">
        <w:rPr>
          <w:rFonts w:eastAsia="Times New Roman"/>
          <w:sz w:val="16"/>
          <w:szCs w:val="16"/>
          <w:lang w:val="de-CH"/>
        </w:rPr>
        <w:t xml:space="preserve"> zudem alles über Aons Partnerschaft mit </w:t>
      </w:r>
      <w:hyperlink r:id="rId9" w:history="1">
        <w:r>
          <w:rPr>
            <w:rStyle w:val="Link"/>
            <w:rFonts w:eastAsia="Times New Roman"/>
            <w:sz w:val="16"/>
            <w:szCs w:val="16"/>
            <w:lang w:val="de-CH"/>
          </w:rPr>
          <w:t>Manchester United</w:t>
        </w:r>
      </w:hyperlink>
      <w:r w:rsidRPr="00BE05B9">
        <w:rPr>
          <w:rFonts w:eastAsia="Times New Roman"/>
          <w:sz w:val="16"/>
          <w:szCs w:val="16"/>
          <w:lang w:val="de-CH"/>
        </w:rPr>
        <w:t>.</w:t>
      </w:r>
    </w:p>
    <w:p w:rsidR="000442CA" w:rsidRPr="00BE05B9" w:rsidRDefault="000442CA" w:rsidP="000442CA">
      <w:pPr>
        <w:rPr>
          <w:sz w:val="18"/>
          <w:szCs w:val="24"/>
          <w:lang w:val="de-CH"/>
        </w:rPr>
      </w:pPr>
    </w:p>
    <w:p w:rsidR="000442CA" w:rsidRPr="00183D78" w:rsidRDefault="000442CA" w:rsidP="000442CA">
      <w:pPr>
        <w:rPr>
          <w:lang w:val="de-CH"/>
        </w:rPr>
      </w:pPr>
    </w:p>
    <w:p w:rsidR="00BA20D2" w:rsidRDefault="00BA20D2"/>
    <w:sectPr w:rsidR="00BA20D2" w:rsidSect="00BA20D2">
      <w:headerReference w:type="even" r:id="rId10"/>
      <w:headerReference w:type="default" r:id="rId11"/>
      <w:footerReference w:type="even" r:id="rId12"/>
      <w:footerReference w:type="default" r:id="rId13"/>
      <w:headerReference w:type="first" r:id="rId14"/>
      <w:footerReference w:type="first" r:id="rId15"/>
      <w:pgSz w:w="12240" w:h="15840" w:code="1"/>
      <w:pgMar w:top="1800" w:right="1080" w:bottom="1440" w:left="108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E28" w:rsidRDefault="003F3E28">
    <w:pPr>
      <w:pStyle w:val="Fuzeile"/>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E28" w:rsidRPr="00E154D1" w:rsidRDefault="003F3E28" w:rsidP="00BA20D2">
    <w:pPr>
      <w:tabs>
        <w:tab w:val="right" w:pos="10080"/>
      </w:tabs>
      <w:rPr>
        <w:rFonts w:cs="Arial"/>
        <w:sz w:val="17"/>
        <w:szCs w:val="17"/>
      </w:rPr>
    </w:pPr>
    <w:r>
      <w:rPr>
        <w:sz w:val="16"/>
      </w:rPr>
      <w:t>Risque. Réassurance. Ressources humaines.</w:t>
    </w:r>
    <w:r>
      <w:tab/>
    </w:r>
    <w:r>
      <w:rPr>
        <w:rFonts w:cs="Arial"/>
        <w:noProof/>
        <w:sz w:val="17"/>
        <w:szCs w:val="17"/>
        <w:lang w:val="de-DE" w:eastAsia="de-DE" w:bidi="ar-SA"/>
      </w:rPr>
      <w:drawing>
        <wp:inline distT="0" distB="0" distL="0" distR="0">
          <wp:extent cx="914400" cy="574243"/>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3F3E28" w:rsidRPr="00E154D1" w:rsidRDefault="003F3E28" w:rsidP="00BA20D2">
    <w:pPr>
      <w:tabs>
        <w:tab w:val="right" w:pos="10080"/>
      </w:tabs>
      <w:rPr>
        <w:rFonts w:cs="Arial"/>
        <w:sz w:val="17"/>
        <w:szCs w:val="17"/>
      </w:rPr>
    </w:pPr>
    <w:r>
      <w:tab/>
    </w: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E28" w:rsidRPr="00E154D1" w:rsidRDefault="003F3E28" w:rsidP="00BA20D2">
    <w:pPr>
      <w:tabs>
        <w:tab w:val="right" w:pos="10080"/>
      </w:tabs>
      <w:rPr>
        <w:rFonts w:cs="Arial"/>
        <w:sz w:val="17"/>
        <w:szCs w:val="17"/>
      </w:rPr>
    </w:pPr>
    <w:r>
      <w:rPr>
        <w:sz w:val="16"/>
      </w:rPr>
      <w:t>Risque. Réassurance. Ressources humaines.</w:t>
    </w:r>
    <w:r>
      <w:tab/>
    </w:r>
    <w:r>
      <w:rPr>
        <w:rFonts w:cs="Arial"/>
        <w:noProof/>
        <w:sz w:val="17"/>
        <w:szCs w:val="17"/>
        <w:lang w:val="de-DE" w:eastAsia="de-DE" w:bidi="ar-SA"/>
      </w:rPr>
      <w:drawing>
        <wp:inline distT="0" distB="0" distL="0" distR="0">
          <wp:extent cx="914400" cy="574243"/>
          <wp:effectExtent l="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E28" w:rsidRDefault="003F3E28">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E28" w:rsidRPr="0041177F" w:rsidRDefault="003F3E28" w:rsidP="00BA20D2">
    <w:pPr>
      <w:pStyle w:val="AonMarketPractice"/>
      <w:tabs>
        <w:tab w:val="clear" w:pos="9720"/>
        <w:tab w:val="right" w:pos="10080"/>
      </w:tabs>
      <w:rPr>
        <w:i/>
      </w:rPr>
    </w:pPr>
    <w:r>
      <w:tab/>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E28" w:rsidRDefault="003F3E28" w:rsidP="00BA20D2">
    <w:pPr>
      <w:pStyle w:val="AonMediaContact"/>
    </w:pPr>
    <w:r>
      <w:rPr>
        <w:color w:val="E11B22"/>
        <w:sz w:val="28"/>
      </w:rPr>
      <w:t>Medienmitteilung</w:t>
    </w:r>
  </w:p>
  <w:p w:rsidR="003F3E28" w:rsidRDefault="003F3E28" w:rsidP="00BA20D2">
    <w:pPr>
      <w:pStyle w:val="AonMarketPractice"/>
      <w:tabs>
        <w:tab w:val="clear" w:pos="9720"/>
        <w:tab w:val="right" w:pos="10080"/>
      </w:tabs>
    </w:pPr>
  </w:p>
  <w:p w:rsidR="003F3E28" w:rsidRDefault="003F3E28" w:rsidP="00BA20D2">
    <w:pPr>
      <w:pStyle w:val="AonMarketPractice"/>
      <w:tabs>
        <w:tab w:val="clear" w:pos="9720"/>
        <w:tab w:val="right" w:pos="10080"/>
      </w:tabs>
      <w:ind w:firstLine="708"/>
    </w:pPr>
  </w:p>
  <w:p w:rsidR="003F3E28" w:rsidRDefault="003F3E28" w:rsidP="00BA20D2">
    <w:pPr>
      <w:pStyle w:val="AonMarketPractice"/>
      <w:tabs>
        <w:tab w:val="clear" w:pos="9720"/>
        <w:tab w:val="right" w:pos="10080"/>
      </w:tabs>
    </w:pPr>
  </w:p>
  <w:p w:rsidR="003F3E28" w:rsidRPr="0041177F" w:rsidRDefault="003F3E28" w:rsidP="00BA20D2">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646759"/>
    <w:multiLevelType w:val="multilevel"/>
    <w:tmpl w:val="07908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68166AC"/>
    <w:multiLevelType w:val="hybridMultilevel"/>
    <w:tmpl w:val="1EAE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FB5692A"/>
    <w:multiLevelType w:val="hybridMultilevel"/>
    <w:tmpl w:val="7C1CC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C040575"/>
    <w:multiLevelType w:val="hybridMultilevel"/>
    <w:tmpl w:val="4B2E7D6E"/>
    <w:lvl w:ilvl="0" w:tplc="0290A834">
      <w:start w:val="8004"/>
      <w:numFmt w:val="bullet"/>
      <w:lvlText w:val="-"/>
      <w:lvlJc w:val="left"/>
      <w:pPr>
        <w:ind w:left="720" w:hanging="360"/>
      </w:pPr>
      <w:rPr>
        <w:rFonts w:ascii="Arial" w:eastAsia="MS Mincho" w:hAnsi="Arial"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442CA"/>
    <w:rsid w:val="000442CA"/>
    <w:rsid w:val="003162EF"/>
    <w:rsid w:val="00391DE4"/>
    <w:rsid w:val="003F3E28"/>
    <w:rsid w:val="004A09BA"/>
    <w:rsid w:val="004F4E4D"/>
    <w:rsid w:val="00761953"/>
    <w:rsid w:val="00886763"/>
    <w:rsid w:val="00887C3A"/>
    <w:rsid w:val="008A6831"/>
    <w:rsid w:val="008C5631"/>
    <w:rsid w:val="00982741"/>
    <w:rsid w:val="00AF14A9"/>
    <w:rsid w:val="00B05486"/>
    <w:rsid w:val="00BA20D2"/>
    <w:rsid w:val="00C718BF"/>
    <w:rsid w:val="00DF2570"/>
    <w:rsid w:val="00E36624"/>
    <w:rsid w:val="00E56361"/>
    <w:rsid w:val="00E95744"/>
    <w:rsid w:val="00EA4A64"/>
    <w:rsid w:val="00FA4345"/>
    <w:rsid w:val="00FB09FA"/>
    <w:rsid w:val="00FD0F00"/>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0442CA"/>
    <w:rPr>
      <w:rFonts w:ascii="Arial" w:eastAsia="MS Mincho" w:hAnsi="Arial" w:cs="Times New Roman"/>
      <w:sz w:val="20"/>
      <w:szCs w:val="20"/>
      <w:lang w:val="fr-FR" w:eastAsia="fr-FR" w:bidi="fr-FR"/>
    </w:rPr>
  </w:style>
  <w:style w:type="paragraph" w:styleId="berschrift1">
    <w:name w:val="heading 1"/>
    <w:aliases w:val="SubHead1"/>
    <w:basedOn w:val="berschrift2"/>
    <w:next w:val="AonBodyCopy"/>
    <w:link w:val="berschrift1Zeichen"/>
    <w:qFormat/>
    <w:rsid w:val="000442CA"/>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berschrift2">
    <w:name w:val="heading 2"/>
    <w:basedOn w:val="Standard"/>
    <w:next w:val="Standard"/>
    <w:link w:val="berschrift2Zeichen"/>
    <w:uiPriority w:val="9"/>
    <w:semiHidden/>
    <w:unhideWhenUsed/>
    <w:qFormat/>
    <w:rsid w:val="000442C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0442CA"/>
    <w:rPr>
      <w:rFonts w:ascii="Arial" w:eastAsia="Times New Roman" w:hAnsi="Arial" w:cs="Times New Roman"/>
      <w:color w:val="000000" w:themeColor="text1"/>
      <w:sz w:val="36"/>
      <w:szCs w:val="36"/>
      <w:lang w:val="fr-FR" w:eastAsia="fr-FR" w:bidi="fr-FR"/>
    </w:rPr>
  </w:style>
  <w:style w:type="character" w:customStyle="1" w:styleId="berschrift2Zeichen">
    <w:name w:val="Überschrift 2 Zeichen"/>
    <w:basedOn w:val="Absatzstandardschriftart"/>
    <w:link w:val="berschrift2"/>
    <w:uiPriority w:val="9"/>
    <w:semiHidden/>
    <w:rsid w:val="000442CA"/>
    <w:rPr>
      <w:rFonts w:asciiTheme="majorHAnsi" w:eastAsiaTheme="majorEastAsia" w:hAnsiTheme="majorHAnsi" w:cstheme="majorBidi"/>
      <w:b/>
      <w:bCs/>
      <w:color w:val="4F81BD" w:themeColor="accent1"/>
      <w:sz w:val="26"/>
      <w:szCs w:val="26"/>
      <w:lang w:val="fr-FR" w:eastAsia="fr-FR" w:bidi="fr-FR"/>
    </w:rPr>
  </w:style>
  <w:style w:type="paragraph" w:customStyle="1" w:styleId="AonMarketPractice">
    <w:name w:val="Aon Market/Practice"/>
    <w:basedOn w:val="Standard"/>
    <w:qFormat/>
    <w:rsid w:val="000442CA"/>
    <w:pPr>
      <w:tabs>
        <w:tab w:val="right" w:pos="9720"/>
      </w:tabs>
    </w:pPr>
    <w:rPr>
      <w:noProof/>
      <w:sz w:val="15"/>
      <w:szCs w:val="16"/>
    </w:rPr>
  </w:style>
  <w:style w:type="character" w:styleId="Link">
    <w:name w:val="Hyperlink"/>
    <w:basedOn w:val="Absatzstandardschriftart"/>
    <w:uiPriority w:val="99"/>
    <w:rsid w:val="000442CA"/>
    <w:rPr>
      <w:color w:val="0000FF"/>
      <w:u w:val="single"/>
    </w:rPr>
  </w:style>
  <w:style w:type="paragraph" w:customStyle="1" w:styleId="AonMediaContact">
    <w:name w:val="Aon Media Contact"/>
    <w:basedOn w:val="Standard"/>
    <w:uiPriority w:val="99"/>
    <w:rsid w:val="000442CA"/>
    <w:rPr>
      <w:rFonts w:cs="Arial"/>
      <w:b/>
      <w:sz w:val="16"/>
      <w:szCs w:val="16"/>
    </w:rPr>
  </w:style>
  <w:style w:type="paragraph" w:customStyle="1" w:styleId="AonBodyCopy">
    <w:name w:val="Aon Body Copy"/>
    <w:basedOn w:val="Standard"/>
    <w:rsid w:val="000442CA"/>
    <w:pPr>
      <w:spacing w:after="240" w:line="264" w:lineRule="auto"/>
    </w:pPr>
  </w:style>
  <w:style w:type="paragraph" w:styleId="Sprechblasentext">
    <w:name w:val="Balloon Text"/>
    <w:basedOn w:val="Standard"/>
    <w:link w:val="SprechblasentextZeichen"/>
    <w:uiPriority w:val="99"/>
    <w:semiHidden/>
    <w:unhideWhenUsed/>
    <w:rsid w:val="000442CA"/>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0442CA"/>
    <w:rPr>
      <w:rFonts w:ascii="Tahoma" w:eastAsia="MS Mincho" w:hAnsi="Tahoma" w:cs="Tahoma"/>
      <w:sz w:val="16"/>
      <w:szCs w:val="16"/>
      <w:lang w:val="fr-FR" w:eastAsia="fr-FR" w:bidi="fr-FR"/>
    </w:rPr>
  </w:style>
  <w:style w:type="character" w:styleId="Kommentarzeichen">
    <w:name w:val="annotation reference"/>
    <w:basedOn w:val="Absatzstandardschriftart"/>
    <w:uiPriority w:val="99"/>
    <w:semiHidden/>
    <w:unhideWhenUsed/>
    <w:rsid w:val="000442CA"/>
    <w:rPr>
      <w:sz w:val="16"/>
      <w:szCs w:val="16"/>
    </w:rPr>
  </w:style>
  <w:style w:type="paragraph" w:styleId="Kommentartext">
    <w:name w:val="annotation text"/>
    <w:basedOn w:val="Standard"/>
    <w:link w:val="KommentartextZeichen"/>
    <w:uiPriority w:val="99"/>
    <w:semiHidden/>
    <w:unhideWhenUsed/>
    <w:rsid w:val="000442CA"/>
  </w:style>
  <w:style w:type="character" w:customStyle="1" w:styleId="KommentartextZeichen">
    <w:name w:val="Kommentartext Zeichen"/>
    <w:basedOn w:val="Absatzstandardschriftart"/>
    <w:link w:val="Kommentartext"/>
    <w:uiPriority w:val="99"/>
    <w:semiHidden/>
    <w:rsid w:val="000442CA"/>
    <w:rPr>
      <w:rFonts w:ascii="Arial" w:eastAsia="MS Mincho" w:hAnsi="Arial" w:cs="Times New Roman"/>
      <w:sz w:val="20"/>
      <w:szCs w:val="20"/>
      <w:lang w:val="fr-FR" w:eastAsia="fr-FR" w:bidi="fr-FR"/>
    </w:rPr>
  </w:style>
  <w:style w:type="paragraph" w:styleId="Kommentarthema">
    <w:name w:val="annotation subject"/>
    <w:basedOn w:val="Kommentartext"/>
    <w:next w:val="Kommentartext"/>
    <w:link w:val="KommentarthemaZeichen"/>
    <w:uiPriority w:val="99"/>
    <w:semiHidden/>
    <w:unhideWhenUsed/>
    <w:rsid w:val="000442CA"/>
    <w:rPr>
      <w:b/>
      <w:bCs/>
    </w:rPr>
  </w:style>
  <w:style w:type="character" w:customStyle="1" w:styleId="KommentarthemaZeichen">
    <w:name w:val="Kommentarthema Zeichen"/>
    <w:basedOn w:val="KommentartextZeichen"/>
    <w:link w:val="Kommentarthema"/>
    <w:uiPriority w:val="99"/>
    <w:semiHidden/>
    <w:rsid w:val="000442CA"/>
    <w:rPr>
      <w:b/>
      <w:bCs/>
    </w:rPr>
  </w:style>
  <w:style w:type="paragraph" w:styleId="Listenabsatz">
    <w:name w:val="List Paragraph"/>
    <w:basedOn w:val="Standard"/>
    <w:uiPriority w:val="34"/>
    <w:qFormat/>
    <w:rsid w:val="000442CA"/>
    <w:pPr>
      <w:ind w:left="720"/>
      <w:contextualSpacing/>
    </w:pPr>
  </w:style>
  <w:style w:type="paragraph" w:styleId="Kopfzeile">
    <w:name w:val="header"/>
    <w:basedOn w:val="Standard"/>
    <w:link w:val="KopfzeileZeichen"/>
    <w:uiPriority w:val="99"/>
    <w:unhideWhenUsed/>
    <w:rsid w:val="000442CA"/>
    <w:pPr>
      <w:tabs>
        <w:tab w:val="center" w:pos="4536"/>
        <w:tab w:val="right" w:pos="9072"/>
      </w:tabs>
    </w:pPr>
  </w:style>
  <w:style w:type="character" w:customStyle="1" w:styleId="KopfzeileZeichen">
    <w:name w:val="Kopfzeile Zeichen"/>
    <w:basedOn w:val="Absatzstandardschriftart"/>
    <w:link w:val="Kopfzeile"/>
    <w:uiPriority w:val="99"/>
    <w:rsid w:val="000442CA"/>
    <w:rPr>
      <w:rFonts w:ascii="Arial" w:eastAsia="MS Mincho" w:hAnsi="Arial" w:cs="Times New Roman"/>
      <w:sz w:val="20"/>
      <w:szCs w:val="20"/>
      <w:lang w:val="fr-FR" w:eastAsia="fr-FR" w:bidi="fr-FR"/>
    </w:rPr>
  </w:style>
  <w:style w:type="paragraph" w:styleId="Fuzeile">
    <w:name w:val="footer"/>
    <w:basedOn w:val="Standard"/>
    <w:link w:val="FuzeileZeichen"/>
    <w:uiPriority w:val="99"/>
    <w:unhideWhenUsed/>
    <w:rsid w:val="000442CA"/>
    <w:pPr>
      <w:tabs>
        <w:tab w:val="center" w:pos="4536"/>
        <w:tab w:val="right" w:pos="9072"/>
      </w:tabs>
    </w:pPr>
  </w:style>
  <w:style w:type="character" w:customStyle="1" w:styleId="FuzeileZeichen">
    <w:name w:val="Fußzeile Zeichen"/>
    <w:basedOn w:val="Absatzstandardschriftart"/>
    <w:link w:val="Fuzeile"/>
    <w:uiPriority w:val="99"/>
    <w:rsid w:val="000442CA"/>
    <w:rPr>
      <w:rFonts w:ascii="Arial" w:eastAsia="MS Mincho" w:hAnsi="Arial" w:cs="Times New Roman"/>
      <w:sz w:val="20"/>
      <w:szCs w:val="20"/>
      <w:lang w:val="fr-FR" w:eastAsia="fr-FR" w:bidi="fr-FR"/>
    </w:rPr>
  </w:style>
  <w:style w:type="paragraph" w:styleId="StandardWeb">
    <w:name w:val="Normal (Web)"/>
    <w:basedOn w:val="Standard"/>
    <w:uiPriority w:val="99"/>
    <w:rsid w:val="00BA20D2"/>
    <w:pPr>
      <w:spacing w:beforeLines="1" w:afterLines="1"/>
    </w:pPr>
    <w:rPr>
      <w:rFonts w:ascii="Times" w:eastAsiaTheme="minorHAnsi" w:hAnsi="Times"/>
      <w:lang w:val="de-DE" w:eastAsia="de-DE" w:bidi="ar-SA"/>
    </w:rPr>
  </w:style>
</w:styles>
</file>

<file path=word/webSettings.xml><?xml version="1.0" encoding="utf-8"?>
<w:webSettings xmlns:r="http://schemas.openxmlformats.org/officeDocument/2006/relationships" xmlns:w="http://schemas.openxmlformats.org/wordprocessingml/2006/main">
  <w:divs>
    <w:div w:id="1262294273">
      <w:bodyDiv w:val="1"/>
      <w:marLeft w:val="0"/>
      <w:marRight w:val="0"/>
      <w:marTop w:val="0"/>
      <w:marBottom w:val="0"/>
      <w:divBdr>
        <w:top w:val="none" w:sz="0" w:space="0" w:color="auto"/>
        <w:left w:val="none" w:sz="0" w:space="0" w:color="auto"/>
        <w:bottom w:val="none" w:sz="0" w:space="0" w:color="auto"/>
        <w:right w:val="none" w:sz="0" w:space="0" w:color="auto"/>
      </w:divBdr>
      <w:divsChild>
        <w:div w:id="1726178653">
          <w:marLeft w:val="0"/>
          <w:marRight w:val="0"/>
          <w:marTop w:val="0"/>
          <w:marBottom w:val="0"/>
          <w:divBdr>
            <w:top w:val="none" w:sz="0" w:space="0" w:color="auto"/>
            <w:left w:val="none" w:sz="0" w:space="0" w:color="auto"/>
            <w:bottom w:val="none" w:sz="0" w:space="0" w:color="auto"/>
            <w:right w:val="none" w:sz="0" w:space="0" w:color="auto"/>
          </w:divBdr>
          <w:divsChild>
            <w:div w:id="1451699759">
              <w:marLeft w:val="0"/>
              <w:marRight w:val="0"/>
              <w:marTop w:val="0"/>
              <w:marBottom w:val="0"/>
              <w:divBdr>
                <w:top w:val="none" w:sz="0" w:space="0" w:color="auto"/>
                <w:left w:val="none" w:sz="0" w:space="0" w:color="auto"/>
                <w:bottom w:val="none" w:sz="0" w:space="0" w:color="auto"/>
                <w:right w:val="none" w:sz="0" w:space="0" w:color="auto"/>
              </w:divBdr>
              <w:divsChild>
                <w:div w:id="226650471">
                  <w:marLeft w:val="0"/>
                  <w:marRight w:val="0"/>
                  <w:marTop w:val="0"/>
                  <w:marBottom w:val="0"/>
                  <w:divBdr>
                    <w:top w:val="none" w:sz="0" w:space="0" w:color="auto"/>
                    <w:left w:val="none" w:sz="0" w:space="0" w:color="auto"/>
                    <w:bottom w:val="none" w:sz="0" w:space="0" w:color="auto"/>
                    <w:right w:val="none" w:sz="0" w:space="0" w:color="auto"/>
                  </w:divBdr>
                  <w:divsChild>
                    <w:div w:id="437019228">
                      <w:marLeft w:val="0"/>
                      <w:marRight w:val="0"/>
                      <w:marTop w:val="0"/>
                      <w:marBottom w:val="0"/>
                      <w:divBdr>
                        <w:top w:val="none" w:sz="0" w:space="0" w:color="auto"/>
                        <w:left w:val="none" w:sz="0" w:space="0" w:color="auto"/>
                        <w:bottom w:val="none" w:sz="0" w:space="0" w:color="auto"/>
                        <w:right w:val="none" w:sz="0" w:space="0" w:color="auto"/>
                      </w:divBdr>
                    </w:div>
                  </w:divsChild>
                </w:div>
                <w:div w:id="1920168426">
                  <w:marLeft w:val="0"/>
                  <w:marRight w:val="0"/>
                  <w:marTop w:val="0"/>
                  <w:marBottom w:val="0"/>
                  <w:divBdr>
                    <w:top w:val="none" w:sz="0" w:space="0" w:color="auto"/>
                    <w:left w:val="none" w:sz="0" w:space="0" w:color="auto"/>
                    <w:bottom w:val="none" w:sz="0" w:space="0" w:color="auto"/>
                    <w:right w:val="none" w:sz="0" w:space="0" w:color="auto"/>
                  </w:divBdr>
                  <w:divsChild>
                    <w:div w:id="1251037716">
                      <w:marLeft w:val="0"/>
                      <w:marRight w:val="0"/>
                      <w:marTop w:val="0"/>
                      <w:marBottom w:val="0"/>
                      <w:divBdr>
                        <w:top w:val="none" w:sz="0" w:space="0" w:color="auto"/>
                        <w:left w:val="none" w:sz="0" w:space="0" w:color="auto"/>
                        <w:bottom w:val="none" w:sz="0" w:space="0" w:color="auto"/>
                        <w:right w:val="none" w:sz="0" w:space="0" w:color="auto"/>
                      </w:divBdr>
                    </w:div>
                    <w:div w:id="205156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158173">
          <w:marLeft w:val="0"/>
          <w:marRight w:val="0"/>
          <w:marTop w:val="0"/>
          <w:marBottom w:val="0"/>
          <w:divBdr>
            <w:top w:val="none" w:sz="0" w:space="0" w:color="auto"/>
            <w:left w:val="none" w:sz="0" w:space="0" w:color="auto"/>
            <w:bottom w:val="none" w:sz="0" w:space="0" w:color="auto"/>
            <w:right w:val="none" w:sz="0" w:space="0" w:color="auto"/>
          </w:divBdr>
          <w:divsChild>
            <w:div w:id="497887975">
              <w:marLeft w:val="0"/>
              <w:marRight w:val="0"/>
              <w:marTop w:val="0"/>
              <w:marBottom w:val="0"/>
              <w:divBdr>
                <w:top w:val="none" w:sz="0" w:space="0" w:color="auto"/>
                <w:left w:val="none" w:sz="0" w:space="0" w:color="auto"/>
                <w:bottom w:val="none" w:sz="0" w:space="0" w:color="auto"/>
                <w:right w:val="none" w:sz="0" w:space="0" w:color="auto"/>
              </w:divBdr>
              <w:divsChild>
                <w:div w:id="343283151">
                  <w:marLeft w:val="0"/>
                  <w:marRight w:val="0"/>
                  <w:marTop w:val="0"/>
                  <w:marBottom w:val="0"/>
                  <w:divBdr>
                    <w:top w:val="none" w:sz="0" w:space="0" w:color="auto"/>
                    <w:left w:val="none" w:sz="0" w:space="0" w:color="auto"/>
                    <w:bottom w:val="none" w:sz="0" w:space="0" w:color="auto"/>
                    <w:right w:val="none" w:sz="0" w:space="0" w:color="auto"/>
                  </w:divBdr>
                </w:div>
                <w:div w:id="98542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fabio.peyer@aonhewitt.com" TargetMode="External"/><Relationship Id="rId6" Type="http://schemas.openxmlformats.org/officeDocument/2006/relationships/image" Target="media/image1.png"/><Relationship Id="rId7" Type="http://schemas.openxmlformats.org/officeDocument/2006/relationships/hyperlink" Target="http://www.aon.com" TargetMode="External"/><Relationship Id="rId8" Type="http://schemas.openxmlformats.org/officeDocument/2006/relationships/hyperlink" Target="http://www.aon.com/manchesterunited" TargetMode="External"/><Relationship Id="rId9" Type="http://schemas.openxmlformats.org/officeDocument/2006/relationships/hyperlink" Target="http://www.manutd.com/default.sps?pagegid=%7b78F24B85-702C-4DC8-A5D4-2F67252C28AA%7d&amp;itype=12977&amp;pagebuildpageid=2716&amp;bg=1" TargetMode="External"/><Relationship Id="rId10"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1237</Words>
  <Characters>7051</Characters>
  <Application>Microsoft Macintosh Word</Application>
  <DocSecurity>0</DocSecurity>
  <Lines>58</Lines>
  <Paragraphs>14</Paragraphs>
  <ScaleCrop>false</ScaleCrop>
  <Company>Press'n'Relations </Company>
  <LinksUpToDate>false</LinksUpToDate>
  <CharactersWithSpaces>8659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15</cp:revision>
  <dcterms:created xsi:type="dcterms:W3CDTF">2015-02-18T10:39:00Z</dcterms:created>
  <dcterms:modified xsi:type="dcterms:W3CDTF">2015-03-04T08:41:00Z</dcterms:modified>
</cp:coreProperties>
</file>