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D95" w:rsidRPr="00564323" w:rsidRDefault="00DB7D95" w:rsidP="00DB7D95">
      <w:pPr>
        <w:widowControl w:val="0"/>
        <w:spacing w:line="312" w:lineRule="auto"/>
        <w:ind w:right="-1"/>
        <w:rPr>
          <w:bCs/>
          <w:noProof/>
          <w:sz w:val="22"/>
          <w:szCs w:val="22"/>
          <w:lang w:val="de-DE"/>
        </w:rPr>
      </w:pPr>
      <w:r>
        <w:rPr>
          <w:bCs/>
          <w:noProof/>
          <w:sz w:val="22"/>
          <w:szCs w:val="22"/>
          <w:lang w:val="de-DE"/>
        </w:rPr>
        <w:t xml:space="preserve">Zürich, 6. November 2013 </w:t>
      </w:r>
    </w:p>
    <w:p w:rsidR="00DB7D95" w:rsidRPr="00564323" w:rsidRDefault="00DB7D95" w:rsidP="00DB7D95">
      <w:pPr>
        <w:widowControl w:val="0"/>
        <w:spacing w:line="312" w:lineRule="auto"/>
        <w:ind w:right="-1"/>
        <w:rPr>
          <w:noProof/>
          <w:sz w:val="16"/>
          <w:szCs w:val="16"/>
          <w:lang w:val="de-DE"/>
        </w:rPr>
      </w:pPr>
    </w:p>
    <w:p w:rsidR="00DB7D95" w:rsidRDefault="00C827E9" w:rsidP="00DB7D95">
      <w:pPr>
        <w:widowControl w:val="0"/>
        <w:overflowPunct/>
        <w:spacing w:line="312" w:lineRule="auto"/>
        <w:ind w:right="425"/>
        <w:textAlignment w:val="auto"/>
        <w:rPr>
          <w:bCs/>
          <w:sz w:val="24"/>
          <w:szCs w:val="28"/>
          <w:lang w:val="de-DE" w:eastAsia="en-GB"/>
        </w:rPr>
      </w:pPr>
      <w:r>
        <w:rPr>
          <w:b/>
          <w:bCs/>
          <w:sz w:val="28"/>
          <w:szCs w:val="28"/>
          <w:lang w:val="de-DE" w:eastAsia="en-GB"/>
        </w:rPr>
        <w:t>Jede vierte Pensionskasse</w:t>
      </w:r>
      <w:r w:rsidR="00DB7D95">
        <w:rPr>
          <w:b/>
          <w:bCs/>
          <w:sz w:val="28"/>
          <w:szCs w:val="28"/>
          <w:lang w:val="de-DE" w:eastAsia="en-GB"/>
        </w:rPr>
        <w:t xml:space="preserve"> mit Unterdeckung</w:t>
      </w:r>
    </w:p>
    <w:p w:rsidR="00DB7D95" w:rsidRPr="00A4499E" w:rsidRDefault="00DB7D95" w:rsidP="00DB7D95">
      <w:pPr>
        <w:widowControl w:val="0"/>
        <w:overflowPunct/>
        <w:spacing w:line="312" w:lineRule="auto"/>
        <w:ind w:right="992"/>
        <w:textAlignment w:val="auto"/>
        <w:rPr>
          <w:bCs/>
          <w:szCs w:val="28"/>
          <w:lang w:val="de-DE" w:eastAsia="en-GB"/>
        </w:rPr>
      </w:pPr>
      <w:r>
        <w:rPr>
          <w:bCs/>
          <w:szCs w:val="28"/>
          <w:lang w:val="de-DE" w:eastAsia="en-GB"/>
        </w:rPr>
        <w:t>Den Schweizer Vorsorgeeinrichtungen geht es besser. Dennoch ist die Rendite nach wie vor zu tief und Reformen dringend nötig, um die Stabilität der 2. Säule nicht zu gefährden</w:t>
      </w:r>
      <w:bookmarkStart w:id="0" w:name="_GoBack"/>
      <w:bookmarkEnd w:id="0"/>
    </w:p>
    <w:p w:rsidR="00DB7D95" w:rsidRPr="00B0176E" w:rsidRDefault="00DB7D95" w:rsidP="00DB7D95">
      <w:pPr>
        <w:widowControl w:val="0"/>
        <w:overflowPunct/>
        <w:spacing w:line="312" w:lineRule="auto"/>
        <w:ind w:right="992"/>
        <w:textAlignment w:val="auto"/>
        <w:rPr>
          <w:b/>
          <w:lang w:val="de-DE" w:eastAsia="en-GB"/>
        </w:rPr>
      </w:pPr>
    </w:p>
    <w:p w:rsidR="00DB7D95" w:rsidRPr="00F3124B" w:rsidRDefault="00DB7D95" w:rsidP="00DB7D95">
      <w:pPr>
        <w:widowControl w:val="0"/>
        <w:overflowPunct/>
        <w:spacing w:line="312" w:lineRule="auto"/>
        <w:ind w:right="992"/>
        <w:textAlignment w:val="auto"/>
        <w:rPr>
          <w:b/>
          <w:lang w:val="de-DE" w:eastAsia="en-GB"/>
        </w:rPr>
      </w:pPr>
      <w:r>
        <w:rPr>
          <w:b/>
          <w:lang w:val="de-DE" w:eastAsia="en-GB"/>
        </w:rPr>
        <w:t xml:space="preserve">Trotz schwierigem Anlageumfeld und niedriger Renditen ist es den Verantwortlichen der Schweizer Pensionskassen mehrheitlich gelungen, ihre Organisationen auf Kurs zu halten. Dies ist eine der Kernaussagen der repräsentativen Pensionskassenumfrage „Swiss Pension Fund Survey 2013/2014“, die das HR-Beratungs- und Outsourcing-Unternehmen Aon Hewitt bei 160 Schweizer Vorsorgeeinrichtungen mit einer Million Versicherten und 237 Milliarden Vermögen durchgeführt hat. „Die stetige Senkung des durchschnittlichen technischen Zinssatzes und das gleichzeitige Halten des Deckungsgrades zeugen von einem umsichtigen Management und einer strukturellen Gesundung der Schweizer Pensionskassen“, sagt Werner Hertzog, Managing Director von Aon Hewitt Schweiz. „Dennoch ist nicht zu leugnen, dass die Strukturen und Rahmenbedingungen dringend weiter angepasst und verbessert werden müssen, um die Stabilität der zweiten Säule nicht zu gefährden.“ Denn trotz der guten Performance von 7,2% im letzten Jahr darf nicht vergessen werden, dass der eigentlich notwendige langfristige </w:t>
      </w:r>
      <w:r w:rsidRPr="00F3124B">
        <w:rPr>
          <w:b/>
          <w:lang w:val="de-DE" w:eastAsia="en-GB"/>
        </w:rPr>
        <w:t xml:space="preserve">Ertrag längst nicht erreicht ist: Aufgrund der hohen Volatilität der Anlageerträge erwirtschafteten die Kassen über die letzten sieben Jahre anstatt </w:t>
      </w:r>
      <w:r>
        <w:rPr>
          <w:b/>
          <w:lang w:val="de-DE" w:eastAsia="en-GB"/>
        </w:rPr>
        <w:t xml:space="preserve">der nötigen </w:t>
      </w:r>
      <w:r w:rsidRPr="00F3124B">
        <w:rPr>
          <w:b/>
          <w:lang w:val="de-DE" w:eastAsia="en-GB"/>
        </w:rPr>
        <w:t>2,</w:t>
      </w:r>
      <w:r w:rsidRPr="008537FB">
        <w:rPr>
          <w:b/>
          <w:lang w:val="de-DE" w:eastAsia="en-GB"/>
        </w:rPr>
        <w:t>8% lediglich 2,2% Gewinn</w:t>
      </w:r>
      <w:r w:rsidRPr="00F3124B">
        <w:rPr>
          <w:b/>
          <w:lang w:val="de-DE" w:eastAsia="en-GB"/>
        </w:rPr>
        <w:t xml:space="preserve"> auf die Vorsorgekapitalien. </w:t>
      </w:r>
      <w:r>
        <w:rPr>
          <w:b/>
          <w:lang w:val="de-DE" w:eastAsia="en-GB"/>
        </w:rPr>
        <w:t>F</w:t>
      </w:r>
      <w:r w:rsidRPr="00F3124B">
        <w:rPr>
          <w:b/>
          <w:lang w:val="de-DE" w:eastAsia="en-GB"/>
        </w:rPr>
        <w:t xml:space="preserve">ast ein Viertel </w:t>
      </w:r>
      <w:r w:rsidR="00995E0F">
        <w:rPr>
          <w:b/>
          <w:lang w:val="de-DE" w:eastAsia="en-GB"/>
        </w:rPr>
        <w:t xml:space="preserve">(23%) </w:t>
      </w:r>
      <w:r>
        <w:rPr>
          <w:b/>
          <w:lang w:val="de-DE" w:eastAsia="en-GB"/>
        </w:rPr>
        <w:t xml:space="preserve">der Einrichtungen wiesen </w:t>
      </w:r>
      <w:r w:rsidRPr="00F3124B">
        <w:rPr>
          <w:b/>
          <w:lang w:val="de-DE" w:eastAsia="en-GB"/>
        </w:rPr>
        <w:t>per Ende 2012 eine Deckungslücke auf, bei 10</w:t>
      </w:r>
      <w:r>
        <w:rPr>
          <w:b/>
          <w:lang w:val="de-DE" w:eastAsia="en-GB"/>
        </w:rPr>
        <w:t xml:space="preserve">% </w:t>
      </w:r>
      <w:r w:rsidRPr="00F3124B">
        <w:rPr>
          <w:b/>
          <w:lang w:val="de-DE" w:eastAsia="en-GB"/>
        </w:rPr>
        <w:t xml:space="preserve">betrug der Deckungsgrad gar weniger als 90%. Dabei handelte es sich fast ausschliesslich um öffentlich-rechtliche Kassen. Die privatrechtlichen Einrichtungen hingegen konnten den durchschnittlichen Deckungsbeitrag von 100,9% im Jahr 2011 auf 107,1% steigern. </w:t>
      </w:r>
      <w:r>
        <w:rPr>
          <w:b/>
          <w:lang w:val="de-DE" w:eastAsia="en-GB"/>
        </w:rPr>
        <w:t>Indes hält die</w:t>
      </w:r>
      <w:r w:rsidRPr="00F3124B">
        <w:rPr>
          <w:b/>
          <w:lang w:val="de-DE" w:eastAsia="en-GB"/>
        </w:rPr>
        <w:t xml:space="preserve"> allgemeine Tendenz zum Beitragsprimat </w:t>
      </w:r>
      <w:r>
        <w:rPr>
          <w:b/>
          <w:lang w:val="de-DE" w:eastAsia="en-GB"/>
        </w:rPr>
        <w:t xml:space="preserve">weiter </w:t>
      </w:r>
      <w:r w:rsidRPr="00F3124B">
        <w:rPr>
          <w:b/>
          <w:lang w:val="de-DE" w:eastAsia="en-GB"/>
        </w:rPr>
        <w:t>an: 88% der Kassen werden im Beitragsprimat geführt. Bei den privatrechtlichen Organisationen sind es 90%, bei den öffentlich-rechtlichen Einrichtungen 77%.</w:t>
      </w:r>
    </w:p>
    <w:p w:rsidR="00DB7D95" w:rsidRDefault="00DB7D95" w:rsidP="00DB7D95">
      <w:pPr>
        <w:widowControl w:val="0"/>
        <w:overflowPunct/>
        <w:spacing w:line="312" w:lineRule="auto"/>
        <w:ind w:right="992"/>
        <w:textAlignment w:val="auto"/>
        <w:rPr>
          <w:b/>
          <w:lang w:val="de-DE" w:eastAsia="en-GB"/>
        </w:rPr>
      </w:pPr>
    </w:p>
    <w:p w:rsidR="00DB7D95" w:rsidRDefault="00DB7D95" w:rsidP="00DB7D95">
      <w:pPr>
        <w:widowControl w:val="0"/>
        <w:overflowPunct/>
        <w:spacing w:line="312" w:lineRule="auto"/>
        <w:ind w:right="992"/>
        <w:textAlignment w:val="auto"/>
        <w:rPr>
          <w:b/>
          <w:lang w:val="de-DE" w:eastAsia="en-GB"/>
        </w:rPr>
      </w:pPr>
      <w:r>
        <w:rPr>
          <w:b/>
          <w:lang w:val="de-DE" w:eastAsia="en-GB"/>
        </w:rPr>
        <w:t>Kassen zahlen nach wie vor zu viel aus</w:t>
      </w:r>
    </w:p>
    <w:p w:rsidR="00DB7D95" w:rsidRDefault="00DB7D95" w:rsidP="00DB7D95">
      <w:pPr>
        <w:widowControl w:val="0"/>
        <w:overflowPunct/>
        <w:spacing w:line="312" w:lineRule="auto"/>
        <w:ind w:right="992"/>
        <w:textAlignment w:val="auto"/>
        <w:rPr>
          <w:lang w:val="de-DE" w:eastAsia="en-GB"/>
        </w:rPr>
      </w:pPr>
      <w:r>
        <w:rPr>
          <w:lang w:val="de-DE" w:eastAsia="en-GB"/>
        </w:rPr>
        <w:t xml:space="preserve">Die tiefe Zinslage und damit verbunden die nach wie vor durchschnittlich zu tiefe Anlageperformance machen deutlich, dass die Deckung des technischen Zinssatzes langfristig eine grosse Herausforderung darstellt. In den letzten vier Jahren ist der technische Zinssatz von 3,72% auf 3,25% gesunken – eine weitere Verringerung auf nahezu 3% ist wahrscheinlich. Unter der massiven Senkung des technischen Zinssatzes haben derweil die Umwandlungssätze gelitten: Der durchschnittliche Umwandlungssatz liegt aktuell bei 6,41% – 2011 betrug er noch 6,69%. Damit ist er nach wie vor höher, als er bei der aktuellen Ertragslage liegen dürfte. Eine Mehrheit der befragten Kassen gibt denn auch an, dass der angemessene Umwandlungssatz nicht mehr als 6% betragen sollte. „Diese Diskrepanz verdeutlicht, wie schwierig es in der Praxis ist, die versprochenen Leistungen zu vermindern“, sagt </w:t>
      </w:r>
      <w:r w:rsidRPr="00DF6AEA">
        <w:rPr>
          <w:lang w:val="de-DE" w:eastAsia="en-GB"/>
        </w:rPr>
        <w:t>Hertzog. „Denn obwohl sich die Kassen mittlerweile weitgehend von der politischen Diskussion gelöst und selbst Massnahmen</w:t>
      </w:r>
      <w:r>
        <w:rPr>
          <w:lang w:val="de-DE" w:eastAsia="en-GB"/>
        </w:rPr>
        <w:t xml:space="preserve"> zur Gesundung eingeleitet haben, verhindert die demografische Entwicklung eine effiziente Sanierung der Vorsorgeeinrichtungen.“ </w:t>
      </w:r>
    </w:p>
    <w:p w:rsidR="00DB7D95" w:rsidRDefault="00DB7D95" w:rsidP="00DB7D95">
      <w:pPr>
        <w:widowControl w:val="0"/>
        <w:overflowPunct/>
        <w:spacing w:line="312" w:lineRule="auto"/>
        <w:ind w:right="992"/>
        <w:textAlignment w:val="auto"/>
        <w:rPr>
          <w:lang w:val="de-DE" w:eastAsia="en-GB"/>
        </w:rPr>
      </w:pPr>
    </w:p>
    <w:p w:rsidR="00DB7D95" w:rsidRDefault="00DB7D95" w:rsidP="00DB7D95">
      <w:pPr>
        <w:widowControl w:val="0"/>
        <w:overflowPunct/>
        <w:spacing w:line="312" w:lineRule="auto"/>
        <w:ind w:right="992"/>
        <w:textAlignment w:val="auto"/>
        <w:rPr>
          <w:b/>
          <w:lang w:val="de-DE" w:eastAsia="en-GB"/>
        </w:rPr>
      </w:pPr>
      <w:r w:rsidRPr="00D5056D">
        <w:rPr>
          <w:b/>
          <w:lang w:val="de-DE" w:eastAsia="en-GB"/>
        </w:rPr>
        <w:t>Sta</w:t>
      </w:r>
      <w:r>
        <w:rPr>
          <w:b/>
          <w:lang w:val="de-DE" w:eastAsia="en-GB"/>
        </w:rPr>
        <w:t>rk variierende Altersleistungen</w:t>
      </w:r>
    </w:p>
    <w:p w:rsidR="00DB7D95" w:rsidRPr="006F5EEC" w:rsidRDefault="00DB7D95" w:rsidP="00DB7D95">
      <w:pPr>
        <w:widowControl w:val="0"/>
        <w:overflowPunct/>
        <w:spacing w:line="312" w:lineRule="auto"/>
        <w:ind w:right="992"/>
        <w:textAlignment w:val="auto"/>
        <w:rPr>
          <w:b/>
          <w:lang w:val="de-DE" w:eastAsia="en-GB"/>
        </w:rPr>
      </w:pPr>
      <w:r w:rsidRPr="006F5EEC">
        <w:rPr>
          <w:lang w:val="de-DE" w:eastAsia="en-GB"/>
        </w:rPr>
        <w:t xml:space="preserve">Was die Leistungen im Rentenalter angeht, beträgt heute das durchschnittliche Rentenziel im Alter von 65 Jahren 44,8% des letzten Basislohnes. Die Ersatzquote variiert dabei </w:t>
      </w:r>
      <w:r>
        <w:rPr>
          <w:lang w:val="de-DE" w:eastAsia="en-GB"/>
        </w:rPr>
        <w:t>allerdings</w:t>
      </w:r>
      <w:r w:rsidRPr="006F5EEC">
        <w:rPr>
          <w:lang w:val="de-DE" w:eastAsia="en-GB"/>
        </w:rPr>
        <w:t xml:space="preserve"> zwischen den Branchen massiv. </w:t>
      </w:r>
      <w:r w:rsidRPr="000F13BD">
        <w:rPr>
          <w:lang w:val="de-CH" w:eastAsia="en-GB"/>
        </w:rPr>
        <w:t xml:space="preserve">Die Hälfte der teilnehmenden Pensionskassen bieten im Alter von 65 Jahren eine Altersleistung zwischen 38% und 51% des letzten Basislohnes. Die grosszügigste Kasse erreicht eine Ersatzquote von 74% des Basislohnes, die bescheidenste 29%. </w:t>
      </w:r>
      <w:r w:rsidRPr="00DF6AEA">
        <w:rPr>
          <w:lang w:val="de-DE" w:eastAsia="en-GB"/>
        </w:rPr>
        <w:t>Rechnet</w:t>
      </w:r>
      <w:r w:rsidRPr="006F5EEC">
        <w:rPr>
          <w:lang w:val="de-DE" w:eastAsia="en-GB"/>
        </w:rPr>
        <w:t xml:space="preserve"> </w:t>
      </w:r>
      <w:r>
        <w:rPr>
          <w:lang w:val="de-DE" w:eastAsia="en-GB"/>
        </w:rPr>
        <w:t>man die AHV mit ein, so liegt die durchschnittliche Ersatzquote eines 65-jährigen bei 78,1% und damit deutlich über dem in der Verfassung vorgesehenen Zielwert von 60%. „Damit schneidet das Schweizer Vorsorgesystem im internationalen Vergleich zwar sehr gut ab. Um dem schrittweisen Abbau der Kapitaldeckung Einhalt zu gebieten und eine für die junge Generation ungerechte Umverteilung zu verhindern, sind aber weiterführende Reformen unumgänglich“, so Hertzog abschliess end.</w:t>
      </w:r>
    </w:p>
    <w:p w:rsidR="00DB7D95" w:rsidRDefault="00DB7D95" w:rsidP="00DB7D95">
      <w:pPr>
        <w:widowControl w:val="0"/>
        <w:overflowPunct/>
        <w:spacing w:line="312" w:lineRule="auto"/>
        <w:ind w:right="992"/>
        <w:textAlignment w:val="auto"/>
        <w:rPr>
          <w:lang w:val="de-DE" w:eastAsia="en-GB"/>
        </w:rPr>
      </w:pPr>
    </w:p>
    <w:p w:rsidR="00DB7D95" w:rsidRDefault="00DB7D95" w:rsidP="00DB7D95">
      <w:pPr>
        <w:widowControl w:val="0"/>
        <w:overflowPunct/>
        <w:spacing w:line="312" w:lineRule="auto"/>
        <w:ind w:right="992"/>
        <w:textAlignment w:val="auto"/>
        <w:rPr>
          <w:lang w:val="de-DE" w:eastAsia="en-GB"/>
        </w:rPr>
      </w:pPr>
      <w:r>
        <w:rPr>
          <w:b/>
          <w:bCs/>
          <w:lang w:val="de-CH"/>
        </w:rPr>
        <w:t>Swiss Pension Fund Survey 2013/2014</w:t>
      </w:r>
    </w:p>
    <w:p w:rsidR="00DB7D95" w:rsidRPr="009F6970" w:rsidRDefault="00DB7D95" w:rsidP="00DB7D95">
      <w:pPr>
        <w:widowControl w:val="0"/>
        <w:overflowPunct/>
        <w:spacing w:line="312" w:lineRule="auto"/>
        <w:ind w:right="992"/>
        <w:textAlignment w:val="auto"/>
        <w:rPr>
          <w:lang w:val="de-DE" w:eastAsia="en-GB"/>
        </w:rPr>
      </w:pPr>
      <w:r w:rsidRPr="00CF2784">
        <w:rPr>
          <w:lang w:val="de-CH"/>
        </w:rPr>
        <w:t xml:space="preserve">Als führende Unternehmensberatung für die berufliche Vorsorge hat </w:t>
      </w:r>
      <w:r>
        <w:rPr>
          <w:lang w:val="de-CH"/>
        </w:rPr>
        <w:t>Aon Hewitt 2013</w:t>
      </w:r>
      <w:r w:rsidRPr="00CF2784">
        <w:rPr>
          <w:lang w:val="de-CH"/>
        </w:rPr>
        <w:t xml:space="preserve"> die Studie nach 2005 bereits zum </w:t>
      </w:r>
      <w:r>
        <w:rPr>
          <w:lang w:val="de-CH"/>
        </w:rPr>
        <w:t>sechsten</w:t>
      </w:r>
      <w:r w:rsidRPr="00CF2784">
        <w:rPr>
          <w:lang w:val="de-CH"/>
        </w:rPr>
        <w:t xml:space="preserve"> Mal durchgeführt</w:t>
      </w:r>
      <w:r>
        <w:rPr>
          <w:lang w:val="de-CH"/>
        </w:rPr>
        <w:t>. Die Gesamtauswertung vergleicht die Leistungen und deren Finanzierung von 160 Schweizer Vorsorgeeinrichtungen mit einer Million Versicherten und einem kumulierten Vermögen von 237 Milliarden Franken. Spezifische Auswertungen oder Spezialstudien geben vertiefte Einblicke in der Positionierung einer Firma im Bereich der beruflichen Vorsorge beziehungsweise die eigene Konkurrenzfähigkeit. So kann beispielsweise ein Vergleich mit einem ausgewählten aber anonym dargestellten Kreis von Unternehmen, die im Arbeitsmarkt um dieselben qualifizierten Mitarbeiter konkurrieren, erstellt werden. Für weitere Informationen zur Studie oder den ganzen Report „Swiss Pension Fund Survey 2013/2014“ wenden Si</w:t>
      </w:r>
      <w:r w:rsidR="00D314FD">
        <w:rPr>
          <w:lang w:val="de-CH"/>
        </w:rPr>
        <w:t xml:space="preserve">e sich bitte an Marianne, Pensionsversicherungsexpertin bei Aon Hewitt </w:t>
      </w:r>
      <w:r w:rsidR="00A10B1E">
        <w:rPr>
          <w:lang w:val="de-CH"/>
        </w:rPr>
        <w:t>(</w:t>
      </w:r>
      <w:hyperlink r:id="rId4" w:history="1">
        <w:r w:rsidR="00D314FD" w:rsidRPr="00D314FD">
          <w:rPr>
            <w:lang w:val="de-CH"/>
          </w:rPr>
          <w:t>marianne.frei@aonhewitt.com</w:t>
        </w:r>
      </w:hyperlink>
      <w:r w:rsidR="00A10B1E">
        <w:rPr>
          <w:lang w:val="de-CH"/>
        </w:rPr>
        <w:t>, Telefon 058 266 88 01).</w:t>
      </w:r>
    </w:p>
    <w:p w:rsidR="00DB7D95" w:rsidRDefault="00DB7D95" w:rsidP="00DB7D95">
      <w:pPr>
        <w:overflowPunct/>
        <w:spacing w:line="320" w:lineRule="auto"/>
        <w:ind w:right="-993"/>
        <w:textAlignment w:val="auto"/>
        <w:rPr>
          <w:b/>
          <w:bCs/>
          <w:lang w:val="de-CH"/>
        </w:rPr>
      </w:pPr>
    </w:p>
    <w:tbl>
      <w:tblPr>
        <w:tblW w:w="9214" w:type="dxa"/>
        <w:tblInd w:w="108" w:type="dxa"/>
        <w:tblLook w:val="00A0"/>
      </w:tblPr>
      <w:tblGrid>
        <w:gridCol w:w="3039"/>
        <w:gridCol w:w="6175"/>
      </w:tblGrid>
      <w:tr w:rsidR="00DB7D95" w:rsidRPr="00114AC3">
        <w:trPr>
          <w:trHeight w:val="1988"/>
        </w:trPr>
        <w:tc>
          <w:tcPr>
            <w:tcW w:w="2999" w:type="dxa"/>
            <w:tcBorders>
              <w:top w:val="single" w:sz="4" w:space="0" w:color="A6A6A6"/>
              <w:left w:val="single" w:sz="4" w:space="0" w:color="A6A6A6"/>
              <w:bottom w:val="single" w:sz="4" w:space="0" w:color="A6A6A6"/>
              <w:right w:val="single" w:sz="4" w:space="0" w:color="A6A6A6"/>
            </w:tcBorders>
          </w:tcPr>
          <w:p w:rsidR="00DB7D95" w:rsidRPr="00FE560E" w:rsidRDefault="00DB7D95" w:rsidP="0063308C">
            <w:pPr>
              <w:tabs>
                <w:tab w:val="left" w:pos="220"/>
                <w:tab w:val="left" w:pos="720"/>
              </w:tabs>
              <w:spacing w:line="288" w:lineRule="auto"/>
              <w:ind w:right="23"/>
              <w:jc w:val="center"/>
            </w:pPr>
            <w:r>
              <w:rPr>
                <w:noProof/>
                <w:lang w:val="de-DE" w:eastAsia="de-DE"/>
              </w:rPr>
              <w:drawing>
                <wp:inline distT="0" distB="0" distL="0" distR="0">
                  <wp:extent cx="1752600" cy="1244600"/>
                  <wp:effectExtent l="25400" t="0" r="0" b="0"/>
                  <wp:docPr id="9" name="Bild 1" descr="Bildschirmfoto 2011-11-17 u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1-11-17 um 15"/>
                          <pic:cNvPicPr>
                            <a:picLocks noChangeAspect="1" noChangeArrowheads="1"/>
                          </pic:cNvPicPr>
                        </pic:nvPicPr>
                        <pic:blipFill>
                          <a:blip r:embed="rId5"/>
                          <a:srcRect/>
                          <a:stretch>
                            <a:fillRect/>
                          </a:stretch>
                        </pic:blipFill>
                        <pic:spPr bwMode="auto">
                          <a:xfrm>
                            <a:off x="0" y="0"/>
                            <a:ext cx="1752600" cy="1244600"/>
                          </a:xfrm>
                          <a:prstGeom prst="rect">
                            <a:avLst/>
                          </a:prstGeom>
                          <a:noFill/>
                          <a:ln w="9525">
                            <a:noFill/>
                            <a:miter lim="800000"/>
                            <a:headEnd/>
                            <a:tailEnd/>
                          </a:ln>
                        </pic:spPr>
                      </pic:pic>
                    </a:graphicData>
                  </a:graphic>
                </wp:inline>
              </w:drawing>
            </w:r>
          </w:p>
        </w:tc>
        <w:tc>
          <w:tcPr>
            <w:tcW w:w="6215" w:type="dxa"/>
            <w:tcBorders>
              <w:top w:val="single" w:sz="4" w:space="0" w:color="A6A6A6"/>
              <w:left w:val="single" w:sz="4" w:space="0" w:color="A6A6A6"/>
              <w:bottom w:val="single" w:sz="4" w:space="0" w:color="A6A6A6"/>
              <w:right w:val="single" w:sz="4" w:space="0" w:color="A6A6A6"/>
            </w:tcBorders>
          </w:tcPr>
          <w:p w:rsidR="00DB7D95" w:rsidRDefault="00DB7D95" w:rsidP="0063308C">
            <w:pPr>
              <w:tabs>
                <w:tab w:val="left" w:pos="220"/>
                <w:tab w:val="left" w:pos="720"/>
              </w:tabs>
              <w:spacing w:line="288" w:lineRule="auto"/>
              <w:ind w:right="23"/>
              <w:rPr>
                <w:sz w:val="18"/>
              </w:rPr>
            </w:pPr>
          </w:p>
          <w:p w:rsidR="00DB7D95" w:rsidRPr="00FE560E" w:rsidRDefault="00DB7D95" w:rsidP="0063308C">
            <w:pPr>
              <w:tabs>
                <w:tab w:val="left" w:pos="220"/>
                <w:tab w:val="left" w:pos="720"/>
              </w:tabs>
              <w:spacing w:line="288" w:lineRule="auto"/>
              <w:ind w:right="23"/>
              <w:rPr>
                <w:sz w:val="18"/>
              </w:rPr>
            </w:pPr>
          </w:p>
          <w:p w:rsidR="00DB7D95" w:rsidRPr="00FE560E" w:rsidRDefault="00DB7D95" w:rsidP="0063308C">
            <w:pPr>
              <w:tabs>
                <w:tab w:val="left" w:pos="220"/>
                <w:tab w:val="left" w:pos="720"/>
              </w:tabs>
              <w:spacing w:line="288" w:lineRule="auto"/>
              <w:ind w:right="23"/>
              <w:rPr>
                <w:sz w:val="18"/>
              </w:rPr>
            </w:pPr>
          </w:p>
          <w:p w:rsidR="00DB7D95" w:rsidRPr="00FE560E" w:rsidRDefault="00DB7D95" w:rsidP="0063308C">
            <w:pPr>
              <w:tabs>
                <w:tab w:val="left" w:pos="220"/>
                <w:tab w:val="left" w:pos="720"/>
              </w:tabs>
              <w:spacing w:line="288" w:lineRule="auto"/>
              <w:ind w:right="23"/>
              <w:rPr>
                <w:sz w:val="18"/>
              </w:rPr>
            </w:pPr>
          </w:p>
          <w:p w:rsidR="00DB7D95" w:rsidRDefault="00DB7D95" w:rsidP="0063308C">
            <w:pPr>
              <w:tabs>
                <w:tab w:val="left" w:pos="220"/>
                <w:tab w:val="left" w:pos="720"/>
              </w:tabs>
              <w:spacing w:line="288" w:lineRule="auto"/>
              <w:ind w:right="23"/>
              <w:rPr>
                <w:sz w:val="18"/>
              </w:rPr>
            </w:pPr>
          </w:p>
          <w:p w:rsidR="00DB7D95" w:rsidRPr="009538BF" w:rsidRDefault="00DB7D95" w:rsidP="0063308C">
            <w:pPr>
              <w:tabs>
                <w:tab w:val="left" w:pos="220"/>
                <w:tab w:val="left" w:pos="720"/>
              </w:tabs>
              <w:spacing w:line="288" w:lineRule="auto"/>
              <w:ind w:right="23"/>
              <w:rPr>
                <w:sz w:val="18"/>
              </w:rPr>
            </w:pPr>
          </w:p>
          <w:p w:rsidR="00DB7D95" w:rsidRPr="00D314FD" w:rsidRDefault="00DB7D95" w:rsidP="0063308C">
            <w:pPr>
              <w:pStyle w:val="Textkrper"/>
              <w:spacing w:line="312" w:lineRule="auto"/>
              <w:ind w:right="-29"/>
              <w:rPr>
                <w:b/>
                <w:bCs/>
                <w:sz w:val="18"/>
                <w:lang w:val="de-CH"/>
              </w:rPr>
            </w:pPr>
            <w:r w:rsidRPr="00D314FD">
              <w:rPr>
                <w:b/>
                <w:bCs/>
                <w:sz w:val="18"/>
                <w:lang w:val="de-CH"/>
              </w:rPr>
              <w:t>Werner Hertzog, Managing Director, Aon Hewitt (Switzerland) AG</w:t>
            </w:r>
          </w:p>
        </w:tc>
      </w:tr>
    </w:tbl>
    <w:p w:rsidR="00DB7D95" w:rsidRDefault="00DB7D95" w:rsidP="00DB7D95">
      <w:pPr>
        <w:overflowPunct/>
        <w:spacing w:line="320" w:lineRule="auto"/>
        <w:ind w:right="-993"/>
        <w:textAlignment w:val="auto"/>
        <w:rPr>
          <w:b/>
          <w:bCs/>
          <w:lang w:val="de-CH"/>
        </w:rPr>
      </w:pPr>
    </w:p>
    <w:p w:rsidR="00DB7D95" w:rsidRPr="00D314FD" w:rsidRDefault="00DB7D95" w:rsidP="00775C92">
      <w:pPr>
        <w:overflowPunct/>
        <w:spacing w:line="320" w:lineRule="auto"/>
        <w:ind w:right="-1"/>
        <w:textAlignment w:val="auto"/>
        <w:rPr>
          <w:bCs/>
          <w:sz w:val="18"/>
          <w:lang w:val="de-CH"/>
        </w:rPr>
      </w:pPr>
      <w:r w:rsidRPr="00F1721C">
        <w:rPr>
          <w:bCs/>
          <w:sz w:val="18"/>
          <w:lang w:val="de-CH"/>
        </w:rPr>
        <w:t xml:space="preserve">Das hochauflösende Foto steht im News-Bereich auf </w:t>
      </w:r>
      <w:hyperlink r:id="rId6" w:history="1">
        <w:r w:rsidRPr="00F1721C">
          <w:rPr>
            <w:rStyle w:val="Link"/>
            <w:bCs/>
            <w:sz w:val="18"/>
            <w:lang w:val="de-CH"/>
          </w:rPr>
          <w:t>www.press-n-relations.ch</w:t>
        </w:r>
      </w:hyperlink>
      <w:r w:rsidRPr="00F1721C">
        <w:rPr>
          <w:bCs/>
          <w:sz w:val="18"/>
          <w:lang w:val="de-CH"/>
        </w:rPr>
        <w:t xml:space="preserve"> zum Herunterladen bereit (im Anhang zum dort veröffentlichten Text).</w:t>
      </w:r>
    </w:p>
    <w:tbl>
      <w:tblPr>
        <w:tblW w:w="9142" w:type="dxa"/>
        <w:tblCellMar>
          <w:left w:w="70" w:type="dxa"/>
          <w:right w:w="70" w:type="dxa"/>
        </w:tblCellMar>
        <w:tblLook w:val="0000"/>
      </w:tblPr>
      <w:tblGrid>
        <w:gridCol w:w="4606"/>
        <w:gridCol w:w="4536"/>
      </w:tblGrid>
      <w:tr w:rsidR="00DB7D95" w:rsidRPr="00114AC3">
        <w:trPr>
          <w:trHeight w:val="1064"/>
        </w:trPr>
        <w:tc>
          <w:tcPr>
            <w:tcW w:w="4606" w:type="dxa"/>
          </w:tcPr>
          <w:p w:rsidR="00DB7D95" w:rsidRPr="005C578F" w:rsidRDefault="00DB7D95" w:rsidP="005C578F">
            <w:pPr>
              <w:rPr>
                <w:noProof/>
                <w:sz w:val="16"/>
                <w:szCs w:val="18"/>
                <w:lang w:val="de-CH"/>
              </w:rPr>
            </w:pPr>
            <w:r w:rsidRPr="00FD2298">
              <w:rPr>
                <w:b/>
                <w:sz w:val="16"/>
                <w:lang w:val="de-DE"/>
              </w:rPr>
              <w:t>Kontakt:</w:t>
            </w:r>
            <w:r w:rsidRPr="00FD2298">
              <w:rPr>
                <w:sz w:val="16"/>
                <w:lang w:val="de-DE"/>
              </w:rPr>
              <w:br/>
            </w:r>
            <w:r w:rsidRPr="005C578F">
              <w:rPr>
                <w:noProof/>
                <w:sz w:val="16"/>
                <w:szCs w:val="18"/>
                <w:lang w:val="de-CH"/>
              </w:rPr>
              <w:t xml:space="preserve">Aon </w:t>
            </w:r>
            <w:r w:rsidRPr="00FD2298">
              <w:rPr>
                <w:noProof/>
                <w:sz w:val="16"/>
                <w:szCs w:val="18"/>
                <w:lang w:val="de-CH"/>
              </w:rPr>
              <w:t xml:space="preserve">Hewitt (Switzerland) AG – </w:t>
            </w:r>
            <w:r>
              <w:rPr>
                <w:noProof/>
                <w:sz w:val="16"/>
                <w:szCs w:val="18"/>
                <w:lang w:val="de-CH"/>
              </w:rPr>
              <w:t>Fabio Peyer</w:t>
            </w:r>
          </w:p>
          <w:p w:rsidR="00DB7D95" w:rsidRPr="001252FF" w:rsidRDefault="00DB7D95" w:rsidP="005C578F">
            <w:pPr>
              <w:rPr>
                <w:sz w:val="16"/>
                <w:szCs w:val="18"/>
                <w:lang w:val="de-DE"/>
              </w:rPr>
            </w:pPr>
            <w:r w:rsidRPr="005C578F">
              <w:rPr>
                <w:noProof/>
                <w:sz w:val="16"/>
                <w:szCs w:val="18"/>
                <w:lang w:val="de-CH"/>
              </w:rPr>
              <w:t>Lagerstrasse 33 – 8021 Zürich</w:t>
            </w:r>
            <w:r w:rsidRPr="005C578F">
              <w:rPr>
                <w:noProof/>
                <w:sz w:val="16"/>
                <w:szCs w:val="18"/>
                <w:lang w:val="de-CH"/>
              </w:rPr>
              <w:br/>
              <w:t>Tel.: +41 58 266 88 22</w:t>
            </w:r>
            <w:r w:rsidRPr="005C578F">
              <w:rPr>
                <w:noProof/>
                <w:sz w:val="16"/>
                <w:szCs w:val="18"/>
                <w:lang w:val="de-CH"/>
              </w:rPr>
              <w:br/>
            </w:r>
            <w:hyperlink r:id="rId7"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DB7D95" w:rsidRDefault="00DB7D95" w:rsidP="00017434">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DB7D95" w:rsidRDefault="00DB7D95" w:rsidP="00017434">
            <w:pPr>
              <w:rPr>
                <w:noProof/>
                <w:sz w:val="16"/>
                <w:szCs w:val="18"/>
                <w:lang w:val="de-CH"/>
              </w:rPr>
            </w:pPr>
            <w:r w:rsidRPr="00FD2298">
              <w:rPr>
                <w:noProof/>
                <w:sz w:val="16"/>
                <w:szCs w:val="18"/>
                <w:lang w:val="de-CH"/>
              </w:rPr>
              <w:t>Hirsl</w:t>
            </w:r>
            <w:r>
              <w:rPr>
                <w:noProof/>
                <w:sz w:val="16"/>
                <w:szCs w:val="18"/>
                <w:lang w:val="de-CH"/>
              </w:rPr>
              <w:t>anderstrasse 51 – 8032 Zürich</w:t>
            </w:r>
          </w:p>
          <w:p w:rsidR="00DB7D95" w:rsidRDefault="00DB7D95" w:rsidP="00017434">
            <w:pPr>
              <w:rPr>
                <w:sz w:val="16"/>
                <w:szCs w:val="18"/>
                <w:lang w:val="de-DE"/>
              </w:rPr>
            </w:pPr>
            <w:r>
              <w:rPr>
                <w:noProof/>
                <w:sz w:val="16"/>
                <w:szCs w:val="18"/>
                <w:lang w:val="de-CH"/>
              </w:rP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Pr>
                <w:sz w:val="16"/>
                <w:szCs w:val="18"/>
                <w:lang w:val="de-DE"/>
              </w:rPr>
              <w:t xml:space="preserve"> +41 43 344 58 69</w:t>
            </w:r>
          </w:p>
          <w:p w:rsidR="00DB7D95" w:rsidRPr="003971FA" w:rsidRDefault="00DB7D95" w:rsidP="00017434">
            <w:pPr>
              <w:rPr>
                <w:noProof/>
                <w:sz w:val="16"/>
                <w:szCs w:val="18"/>
                <w:lang w:val="de-CH"/>
              </w:rPr>
            </w:pPr>
            <w:r w:rsidRPr="00FD2298">
              <w:rPr>
                <w:sz w:val="16"/>
                <w:szCs w:val="18"/>
                <w:lang w:val="de-DE"/>
              </w:rPr>
              <w:t>mh@press-n-relations.ch –</w:t>
            </w:r>
            <w:r w:rsidRPr="00FD2298">
              <w:rPr>
                <w:noProof/>
                <w:sz w:val="16"/>
                <w:szCs w:val="18"/>
                <w:lang w:val="de-CH"/>
              </w:rPr>
              <w:t xml:space="preserve"> www.press-n-relations.ch</w:t>
            </w:r>
          </w:p>
        </w:tc>
      </w:tr>
    </w:tbl>
    <w:p w:rsidR="00DB7D95" w:rsidRPr="00D63D22" w:rsidRDefault="00DB7D95" w:rsidP="00DB7D95">
      <w:pPr>
        <w:ind w:right="-1"/>
        <w:rPr>
          <w:b/>
          <w:bCs/>
          <w:iCs/>
          <w:noProof/>
          <w:lang w:val="de-DE" w:eastAsia="ar-SA"/>
        </w:rPr>
      </w:pPr>
    </w:p>
    <w:p w:rsidR="00DB7D95" w:rsidRPr="00D63D22" w:rsidRDefault="00DB7D95" w:rsidP="00DB7D95">
      <w:pPr>
        <w:ind w:right="-1"/>
        <w:rPr>
          <w:szCs w:val="18"/>
          <w:lang w:val="de-DE"/>
        </w:rPr>
      </w:pPr>
      <w:r w:rsidRPr="00D63D22">
        <w:rPr>
          <w:b/>
          <w:bCs/>
          <w:iCs/>
          <w:noProof/>
          <w:lang w:val="de-DE" w:eastAsia="ar-SA"/>
        </w:rPr>
        <w:t>Über Aon Hewitt</w:t>
      </w:r>
    </w:p>
    <w:p w:rsidR="00DB7D95" w:rsidRPr="00D63D22" w:rsidRDefault="00DB7D95" w:rsidP="00DB7D95">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8" w:history="1">
        <w:r w:rsidRPr="00D63D22">
          <w:rPr>
            <w:rStyle w:val="Link"/>
            <w:bCs/>
            <w:iCs/>
            <w:noProof/>
            <w:lang w:val="de-DE" w:eastAsia="ar-SA"/>
          </w:rPr>
          <w:t>www.aonhewitt.ch</w:t>
        </w:r>
      </w:hyperlink>
      <w:r w:rsidRPr="00D63D22">
        <w:rPr>
          <w:bCs/>
          <w:iCs/>
          <w:noProof/>
          <w:lang w:val="de-DE" w:eastAsia="ar-SA"/>
        </w:rPr>
        <w:t>.</w:t>
      </w:r>
    </w:p>
    <w:p w:rsidR="00DB7D95" w:rsidRPr="00D63D22" w:rsidRDefault="00DB7D95" w:rsidP="00DB7D95">
      <w:pPr>
        <w:ind w:right="-1"/>
        <w:rPr>
          <w:szCs w:val="18"/>
          <w:lang w:val="de-DE"/>
        </w:rPr>
      </w:pPr>
    </w:p>
    <w:p w:rsidR="00DB7D95" w:rsidRPr="00D63D22" w:rsidRDefault="00DB7D95" w:rsidP="00DB7D95">
      <w:pPr>
        <w:ind w:right="-1"/>
        <w:rPr>
          <w:szCs w:val="18"/>
          <w:lang w:val="de-DE"/>
        </w:rPr>
      </w:pPr>
      <w:r w:rsidRPr="00D63D22">
        <w:rPr>
          <w:b/>
          <w:bCs/>
          <w:iCs/>
          <w:noProof/>
          <w:lang w:val="de-DE" w:eastAsia="ar-SA"/>
        </w:rPr>
        <w:t>Über Aon</w:t>
      </w:r>
    </w:p>
    <w:p w:rsidR="00DB7D95" w:rsidRPr="00D63D22" w:rsidRDefault="00DB7D95" w:rsidP="00DB7D95">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9" w:history="1">
        <w:r w:rsidRPr="00D63D22">
          <w:rPr>
            <w:bCs/>
            <w:iCs/>
            <w:noProof/>
            <w:lang w:val="de-DE" w:eastAsia="ar-SA"/>
          </w:rPr>
          <w:t>http://www.aon.com</w:t>
        </w:r>
      </w:hyperlink>
      <w:r w:rsidRPr="00D63D22">
        <w:rPr>
          <w:bCs/>
          <w:iCs/>
          <w:noProof/>
          <w:lang w:val="de-DE" w:eastAsia="ar-SA"/>
        </w:rPr>
        <w:t xml:space="preserve">  und unter </w:t>
      </w:r>
      <w:hyperlink r:id="rId10"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1"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DB7D95" w:rsidRPr="00827F18" w:rsidRDefault="00DB7D95" w:rsidP="00DB7D95">
      <w:pPr>
        <w:ind w:right="-1"/>
        <w:rPr>
          <w:sz w:val="18"/>
          <w:szCs w:val="18"/>
          <w:lang w:val="de-DE"/>
        </w:rPr>
      </w:pPr>
    </w:p>
    <w:p w:rsidR="00DB7D95" w:rsidRPr="00827F18" w:rsidRDefault="00DB7D95" w:rsidP="00DB7D95">
      <w:pPr>
        <w:ind w:right="-1"/>
        <w:rPr>
          <w:sz w:val="18"/>
          <w:szCs w:val="18"/>
          <w:lang w:val="de-DE"/>
        </w:rPr>
      </w:pPr>
    </w:p>
    <w:p w:rsidR="00DB7D95" w:rsidRPr="00827F18" w:rsidRDefault="00DB7D95" w:rsidP="00DB7D95">
      <w:pPr>
        <w:ind w:right="-1"/>
        <w:rPr>
          <w:sz w:val="18"/>
          <w:szCs w:val="18"/>
          <w:lang w:val="de-DE"/>
        </w:rPr>
      </w:pPr>
    </w:p>
    <w:p w:rsidR="00DB7D95" w:rsidRPr="00970FF9" w:rsidRDefault="00DB7D95" w:rsidP="00DB7D95">
      <w:pPr>
        <w:rPr>
          <w:lang w:val="de-DE"/>
        </w:rPr>
      </w:pPr>
    </w:p>
    <w:p w:rsidR="00DB7D95" w:rsidRPr="000F13BD" w:rsidRDefault="00DB7D95" w:rsidP="00DB7D95">
      <w:pPr>
        <w:rPr>
          <w:lang w:val="de-CH"/>
        </w:rPr>
      </w:pPr>
    </w:p>
    <w:p w:rsidR="00DB7D95" w:rsidRPr="000F13BD" w:rsidRDefault="00DB7D95" w:rsidP="00DB7D95">
      <w:pPr>
        <w:rPr>
          <w:lang w:val="de-CH"/>
        </w:rPr>
      </w:pPr>
    </w:p>
    <w:p w:rsidR="00DB7D95" w:rsidRPr="000F13BD" w:rsidRDefault="00DB7D95" w:rsidP="00DB7D95">
      <w:pPr>
        <w:rPr>
          <w:lang w:val="de-CH"/>
        </w:rPr>
      </w:pPr>
    </w:p>
    <w:p w:rsidR="00DB7D95" w:rsidRPr="000F13BD" w:rsidRDefault="00DB7D95" w:rsidP="00DB7D95">
      <w:pPr>
        <w:rPr>
          <w:lang w:val="de-CH"/>
        </w:rPr>
      </w:pPr>
    </w:p>
    <w:p w:rsidR="00DB7D95" w:rsidRPr="000F13BD" w:rsidRDefault="00DB7D95" w:rsidP="00DB7D95">
      <w:pPr>
        <w:rPr>
          <w:lang w:val="de-CH"/>
        </w:rPr>
      </w:pPr>
    </w:p>
    <w:p w:rsidR="00017434" w:rsidRDefault="00017434"/>
    <w:sectPr w:rsidR="00017434" w:rsidSect="00017434">
      <w:headerReference w:type="default" r:id="rId12"/>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3CD" w:rsidRDefault="004243CD" w:rsidP="00017434">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4243CD" w:rsidRDefault="004243CD" w:rsidP="00017434">
    <w:pPr>
      <w:pStyle w:val="Kopfzeile"/>
      <w:spacing w:line="336" w:lineRule="auto"/>
      <w:rPr>
        <w:sz w:val="18"/>
        <w:szCs w:val="18"/>
      </w:rPr>
    </w:pPr>
  </w:p>
  <w:p w:rsidR="004243CD" w:rsidRDefault="004243CD" w:rsidP="00017434">
    <w:pPr>
      <w:spacing w:line="336" w:lineRule="auto"/>
      <w:rPr>
        <w:sz w:val="18"/>
        <w:szCs w:val="18"/>
      </w:rPr>
    </w:pPr>
  </w:p>
  <w:p w:rsidR="004243CD" w:rsidRPr="00F65173" w:rsidRDefault="004243CD" w:rsidP="00017434">
    <w:pPr>
      <w:pStyle w:val="Kopfzeile"/>
      <w:tabs>
        <w:tab w:val="clear" w:pos="4153"/>
        <w:tab w:val="clear" w:pos="8306"/>
        <w:tab w:val="left" w:pos="2715"/>
      </w:tabs>
      <w:ind w:left="720" w:hanging="720"/>
      <w:rPr>
        <w:color w:val="DB0000"/>
        <w:sz w:val="40"/>
        <w:szCs w:val="18"/>
        <w:lang w:val="de-DE"/>
      </w:rPr>
    </w:pPr>
    <w:r>
      <w:rPr>
        <w:color w:val="DB0000"/>
        <w:sz w:val="40"/>
        <w:szCs w:val="48"/>
        <w:lang w:val="de-DE"/>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D058C"/>
    <w:rsid w:val="00017434"/>
    <w:rsid w:val="000E6182"/>
    <w:rsid w:val="001D1414"/>
    <w:rsid w:val="00371C36"/>
    <w:rsid w:val="003816DD"/>
    <w:rsid w:val="003971FA"/>
    <w:rsid w:val="003D4731"/>
    <w:rsid w:val="003E6122"/>
    <w:rsid w:val="004243CD"/>
    <w:rsid w:val="0048574D"/>
    <w:rsid w:val="004A02A4"/>
    <w:rsid w:val="005A0A59"/>
    <w:rsid w:val="005C578F"/>
    <w:rsid w:val="0063308C"/>
    <w:rsid w:val="006859A7"/>
    <w:rsid w:val="006D04E8"/>
    <w:rsid w:val="006F5EEC"/>
    <w:rsid w:val="007377D5"/>
    <w:rsid w:val="0074487E"/>
    <w:rsid w:val="007750B2"/>
    <w:rsid w:val="00775C92"/>
    <w:rsid w:val="007B5450"/>
    <w:rsid w:val="007E0A1B"/>
    <w:rsid w:val="007E20CA"/>
    <w:rsid w:val="0083203D"/>
    <w:rsid w:val="008537FB"/>
    <w:rsid w:val="008B3F5F"/>
    <w:rsid w:val="009538BF"/>
    <w:rsid w:val="00976DA1"/>
    <w:rsid w:val="00995E0F"/>
    <w:rsid w:val="009F6970"/>
    <w:rsid w:val="00A10B1E"/>
    <w:rsid w:val="00AB10ED"/>
    <w:rsid w:val="00B408B1"/>
    <w:rsid w:val="00B777A0"/>
    <w:rsid w:val="00C23293"/>
    <w:rsid w:val="00C5098D"/>
    <w:rsid w:val="00C827E9"/>
    <w:rsid w:val="00C85101"/>
    <w:rsid w:val="00D00A1B"/>
    <w:rsid w:val="00D314FD"/>
    <w:rsid w:val="00D5056D"/>
    <w:rsid w:val="00D80E42"/>
    <w:rsid w:val="00D8233B"/>
    <w:rsid w:val="00DB7D95"/>
    <w:rsid w:val="00DF0D86"/>
    <w:rsid w:val="00DF6AEA"/>
    <w:rsid w:val="00E152F0"/>
    <w:rsid w:val="00E5230B"/>
    <w:rsid w:val="00ED1AC1"/>
    <w:rsid w:val="00F1721C"/>
    <w:rsid w:val="00F3124B"/>
    <w:rsid w:val="00FD058C"/>
    <w:rsid w:val="00FD3B4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FD058C"/>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Sprechblasentext">
    <w:name w:val="Balloon Text"/>
    <w:basedOn w:val="Standard"/>
    <w:link w:val="SprechblasentextZeichen1"/>
    <w:uiPriority w:val="99"/>
    <w:semiHidden/>
    <w:unhideWhenUsed/>
    <w:rsid w:val="003816DD"/>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33AB0"/>
    <w:rPr>
      <w:rFonts w:ascii="Lucida Grande" w:hAnsi="Lucida Grande"/>
      <w:sz w:val="18"/>
      <w:szCs w:val="18"/>
    </w:rPr>
  </w:style>
  <w:style w:type="character" w:customStyle="1" w:styleId="SprechblasentextZeichen0">
    <w:name w:val="Sprechblasentext Zeichen"/>
    <w:basedOn w:val="Absatzstandardschriftart"/>
    <w:link w:val="Sprechblasentext"/>
    <w:uiPriority w:val="99"/>
    <w:semiHidden/>
    <w:rsid w:val="00033AB0"/>
    <w:rPr>
      <w:rFonts w:ascii="Lucida Grande" w:hAnsi="Lucida Grande"/>
      <w:sz w:val="18"/>
      <w:szCs w:val="18"/>
    </w:rPr>
  </w:style>
  <w:style w:type="character" w:customStyle="1" w:styleId="SprechblasentextZeichen2">
    <w:name w:val="Sprechblasentext Zeichen"/>
    <w:basedOn w:val="Absatzstandardschriftart"/>
    <w:link w:val="Sprechblasentext"/>
    <w:uiPriority w:val="99"/>
    <w:semiHidden/>
    <w:rsid w:val="00033AB0"/>
    <w:rPr>
      <w:rFonts w:ascii="Lucida Grande" w:hAnsi="Lucida Grande"/>
      <w:sz w:val="18"/>
      <w:szCs w:val="18"/>
    </w:rPr>
  </w:style>
  <w:style w:type="character" w:customStyle="1" w:styleId="SprechblasentextZeichen3">
    <w:name w:val="Sprechblasentext Zeichen"/>
    <w:basedOn w:val="Absatzstandardschriftart"/>
    <w:link w:val="Sprechblasentext"/>
    <w:uiPriority w:val="99"/>
    <w:semiHidden/>
    <w:rsid w:val="00033AB0"/>
    <w:rPr>
      <w:rFonts w:ascii="Lucida Grande" w:hAnsi="Lucida Grande"/>
      <w:sz w:val="18"/>
      <w:szCs w:val="18"/>
    </w:rPr>
  </w:style>
  <w:style w:type="paragraph" w:styleId="Kopfzeile">
    <w:name w:val="header"/>
    <w:basedOn w:val="Standard"/>
    <w:link w:val="KopfzeileZeichen"/>
    <w:uiPriority w:val="99"/>
    <w:rsid w:val="00FD058C"/>
    <w:pPr>
      <w:tabs>
        <w:tab w:val="center" w:pos="4153"/>
        <w:tab w:val="right" w:pos="8306"/>
      </w:tabs>
    </w:pPr>
  </w:style>
  <w:style w:type="character" w:customStyle="1" w:styleId="KopfzeileZeichen">
    <w:name w:val="Kopfzeile Zeichen"/>
    <w:basedOn w:val="Absatzstandardschriftart"/>
    <w:link w:val="Kopfzeile"/>
    <w:uiPriority w:val="99"/>
    <w:rsid w:val="00FD058C"/>
    <w:rPr>
      <w:rFonts w:ascii="Arial" w:eastAsia="Times New Roman" w:hAnsi="Arial" w:cs="Arial"/>
      <w:color w:val="000000"/>
      <w:sz w:val="20"/>
      <w:szCs w:val="20"/>
      <w:lang w:val="en-GB" w:eastAsia="fr-FR"/>
    </w:rPr>
  </w:style>
  <w:style w:type="character" w:styleId="Link">
    <w:name w:val="Hyperlink"/>
    <w:uiPriority w:val="99"/>
    <w:rsid w:val="00FD058C"/>
    <w:rPr>
      <w:rFonts w:cs="Times New Roman"/>
      <w:color w:val="0000FF"/>
      <w:u w:val="single"/>
    </w:rPr>
  </w:style>
  <w:style w:type="paragraph" w:styleId="Fuzeile">
    <w:name w:val="footer"/>
    <w:basedOn w:val="Standard"/>
    <w:link w:val="FuzeileZeichen"/>
    <w:uiPriority w:val="99"/>
    <w:semiHidden/>
    <w:unhideWhenUsed/>
    <w:rsid w:val="00FD058C"/>
    <w:pPr>
      <w:tabs>
        <w:tab w:val="center" w:pos="4536"/>
        <w:tab w:val="right" w:pos="9072"/>
      </w:tabs>
    </w:pPr>
  </w:style>
  <w:style w:type="character" w:customStyle="1" w:styleId="FuzeileZeichen">
    <w:name w:val="Fußzeile Zeichen"/>
    <w:basedOn w:val="Absatzstandardschriftart"/>
    <w:link w:val="Fuzeile"/>
    <w:uiPriority w:val="99"/>
    <w:semiHidden/>
    <w:rsid w:val="00FD058C"/>
    <w:rPr>
      <w:rFonts w:ascii="Arial" w:eastAsia="Times New Roman" w:hAnsi="Arial" w:cs="Arial"/>
      <w:color w:val="000000"/>
      <w:sz w:val="20"/>
      <w:szCs w:val="20"/>
      <w:lang w:val="en-GB" w:eastAsia="fr-FR"/>
    </w:rPr>
  </w:style>
  <w:style w:type="character" w:customStyle="1" w:styleId="TextkrperZeichen">
    <w:name w:val="Textkörper Zeichen"/>
    <w:basedOn w:val="Absatzstandardschriftart"/>
    <w:link w:val="Textkrper"/>
    <w:rsid w:val="009F6970"/>
    <w:rPr>
      <w:rFonts w:ascii="Arial" w:eastAsia="Times New Roman" w:hAnsi="Arial" w:cs="Arial"/>
      <w:color w:val="000000"/>
      <w:lang w:val="en-GB" w:eastAsia="ar-SA"/>
    </w:rPr>
  </w:style>
  <w:style w:type="paragraph" w:styleId="Textkrper">
    <w:name w:val="Body Text"/>
    <w:basedOn w:val="Standard"/>
    <w:link w:val="TextkrperZeichen"/>
    <w:rsid w:val="009F6970"/>
    <w:pPr>
      <w:widowControl w:val="0"/>
      <w:autoSpaceDN/>
      <w:adjustRightInd/>
      <w:spacing w:after="120"/>
    </w:pPr>
    <w:rPr>
      <w:sz w:val="24"/>
      <w:szCs w:val="24"/>
      <w:lang w:eastAsia="ar-SA"/>
    </w:rPr>
  </w:style>
  <w:style w:type="character" w:customStyle="1" w:styleId="TextkrperZeichen1">
    <w:name w:val="Textkörper Zeichen1"/>
    <w:basedOn w:val="Absatzstandardschriftart"/>
    <w:link w:val="Textkrper"/>
    <w:uiPriority w:val="99"/>
    <w:semiHidden/>
    <w:rsid w:val="009F6970"/>
    <w:rPr>
      <w:rFonts w:ascii="Arial" w:eastAsia="Times New Roman" w:hAnsi="Arial" w:cs="Arial"/>
      <w:color w:val="000000"/>
      <w:sz w:val="20"/>
      <w:szCs w:val="20"/>
      <w:lang w:val="en-GB" w:eastAsia="fr-FR"/>
    </w:rPr>
  </w:style>
  <w:style w:type="paragraph" w:styleId="StandardWeb">
    <w:name w:val="Normal (Web)"/>
    <w:basedOn w:val="Standard"/>
    <w:uiPriority w:val="99"/>
    <w:rsid w:val="006F5EEC"/>
    <w:pPr>
      <w:overflowPunct/>
      <w:autoSpaceDE/>
      <w:autoSpaceDN/>
      <w:adjustRightInd/>
      <w:spacing w:beforeLines="1" w:afterLines="1"/>
      <w:textAlignment w:val="auto"/>
    </w:pPr>
    <w:rPr>
      <w:rFonts w:ascii="Times" w:eastAsiaTheme="minorHAnsi" w:hAnsi="Times" w:cs="Times New Roman"/>
      <w:color w:val="auto"/>
      <w:lang w:val="de-DE" w:eastAsia="de-DE"/>
    </w:rPr>
  </w:style>
  <w:style w:type="character" w:customStyle="1" w:styleId="SprechblasentextZeichen1">
    <w:name w:val="Sprechblasentext Zeichen1"/>
    <w:basedOn w:val="Absatzstandardschriftart"/>
    <w:link w:val="Sprechblasentext"/>
    <w:uiPriority w:val="99"/>
    <w:semiHidden/>
    <w:rsid w:val="003816DD"/>
    <w:rPr>
      <w:rFonts w:ascii="Lucida Grande" w:eastAsia="Times New Roman" w:hAnsi="Lucida Grande" w:cs="Lucida Grande"/>
      <w:color w:val="000000"/>
      <w:sz w:val="18"/>
      <w:szCs w:val="18"/>
      <w:lang w:val="en-GB" w:eastAsia="fr-FR"/>
    </w:rPr>
  </w:style>
  <w:style w:type="character" w:styleId="Kommentarzeichen">
    <w:name w:val="annotation reference"/>
    <w:basedOn w:val="Absatzstandardschriftart"/>
    <w:uiPriority w:val="99"/>
    <w:semiHidden/>
    <w:unhideWhenUsed/>
    <w:rsid w:val="003816DD"/>
    <w:rPr>
      <w:sz w:val="18"/>
      <w:szCs w:val="18"/>
    </w:rPr>
  </w:style>
  <w:style w:type="paragraph" w:styleId="Kommentartext">
    <w:name w:val="annotation text"/>
    <w:basedOn w:val="Standard"/>
    <w:link w:val="KommentartextZeichen"/>
    <w:uiPriority w:val="99"/>
    <w:semiHidden/>
    <w:unhideWhenUsed/>
    <w:rsid w:val="003816DD"/>
    <w:rPr>
      <w:sz w:val="24"/>
      <w:szCs w:val="24"/>
    </w:rPr>
  </w:style>
  <w:style w:type="character" w:customStyle="1" w:styleId="KommentartextZeichen">
    <w:name w:val="Kommentartext Zeichen"/>
    <w:basedOn w:val="Absatzstandardschriftart"/>
    <w:link w:val="Kommentartext"/>
    <w:uiPriority w:val="99"/>
    <w:semiHidden/>
    <w:rsid w:val="003816DD"/>
    <w:rPr>
      <w:rFonts w:ascii="Arial" w:eastAsia="Times New Roman" w:hAnsi="Arial" w:cs="Arial"/>
      <w:color w:val="000000"/>
      <w:lang w:val="en-GB" w:eastAsia="fr-FR"/>
    </w:rPr>
  </w:style>
  <w:style w:type="paragraph" w:styleId="Kommentarthema">
    <w:name w:val="annotation subject"/>
    <w:basedOn w:val="Kommentartext"/>
    <w:next w:val="Kommentartext"/>
    <w:link w:val="KommentarthemaZeichen"/>
    <w:uiPriority w:val="99"/>
    <w:semiHidden/>
    <w:unhideWhenUsed/>
    <w:rsid w:val="003816DD"/>
    <w:rPr>
      <w:b/>
      <w:bCs/>
      <w:sz w:val="20"/>
      <w:szCs w:val="20"/>
    </w:rPr>
  </w:style>
  <w:style w:type="character" w:customStyle="1" w:styleId="KommentarthemaZeichen">
    <w:name w:val="Kommentarthema Zeichen"/>
    <w:basedOn w:val="KommentartextZeichen"/>
    <w:link w:val="Kommentarthema"/>
    <w:uiPriority w:val="99"/>
    <w:semiHidden/>
    <w:rsid w:val="003816DD"/>
    <w:rPr>
      <w:b/>
      <w:bCs/>
      <w:sz w:val="20"/>
      <w:szCs w:val="20"/>
    </w:rPr>
  </w:style>
</w:styles>
</file>

<file path=word/webSettings.xml><?xml version="1.0" encoding="utf-8"?>
<w:webSettings xmlns:r="http://schemas.openxmlformats.org/officeDocument/2006/relationships" xmlns:w="http://schemas.openxmlformats.org/wordprocessingml/2006/main">
  <w:divs>
    <w:div w:id="446894458">
      <w:bodyDiv w:val="1"/>
      <w:marLeft w:val="0"/>
      <w:marRight w:val="0"/>
      <w:marTop w:val="0"/>
      <w:marBottom w:val="0"/>
      <w:divBdr>
        <w:top w:val="none" w:sz="0" w:space="0" w:color="auto"/>
        <w:left w:val="none" w:sz="0" w:space="0" w:color="auto"/>
        <w:bottom w:val="none" w:sz="0" w:space="0" w:color="auto"/>
        <w:right w:val="none" w:sz="0" w:space="0" w:color="auto"/>
      </w:divBdr>
      <w:divsChild>
        <w:div w:id="2101562798">
          <w:marLeft w:val="0"/>
          <w:marRight w:val="0"/>
          <w:marTop w:val="0"/>
          <w:marBottom w:val="0"/>
          <w:divBdr>
            <w:top w:val="none" w:sz="0" w:space="0" w:color="auto"/>
            <w:left w:val="none" w:sz="0" w:space="0" w:color="auto"/>
            <w:bottom w:val="none" w:sz="0" w:space="0" w:color="auto"/>
            <w:right w:val="none" w:sz="0" w:space="0" w:color="auto"/>
          </w:divBdr>
          <w:divsChild>
            <w:div w:id="1628394502">
              <w:marLeft w:val="0"/>
              <w:marRight w:val="0"/>
              <w:marTop w:val="0"/>
              <w:marBottom w:val="0"/>
              <w:divBdr>
                <w:top w:val="none" w:sz="0" w:space="0" w:color="auto"/>
                <w:left w:val="none" w:sz="0" w:space="0" w:color="auto"/>
                <w:bottom w:val="none" w:sz="0" w:space="0" w:color="auto"/>
                <w:right w:val="none" w:sz="0" w:space="0" w:color="auto"/>
              </w:divBdr>
              <w:divsChild>
                <w:div w:id="124132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291085">
      <w:bodyDiv w:val="1"/>
      <w:marLeft w:val="0"/>
      <w:marRight w:val="0"/>
      <w:marTop w:val="0"/>
      <w:marBottom w:val="0"/>
      <w:divBdr>
        <w:top w:val="none" w:sz="0" w:space="0" w:color="auto"/>
        <w:left w:val="none" w:sz="0" w:space="0" w:color="auto"/>
        <w:bottom w:val="none" w:sz="0" w:space="0" w:color="auto"/>
        <w:right w:val="none" w:sz="0" w:space="0" w:color="auto"/>
      </w:divBdr>
      <w:divsChild>
        <w:div w:id="1843471051">
          <w:marLeft w:val="0"/>
          <w:marRight w:val="0"/>
          <w:marTop w:val="0"/>
          <w:marBottom w:val="0"/>
          <w:divBdr>
            <w:top w:val="none" w:sz="0" w:space="0" w:color="auto"/>
            <w:left w:val="none" w:sz="0" w:space="0" w:color="auto"/>
            <w:bottom w:val="none" w:sz="0" w:space="0" w:color="auto"/>
            <w:right w:val="none" w:sz="0" w:space="0" w:color="auto"/>
          </w:divBdr>
          <w:divsChild>
            <w:div w:id="90860998">
              <w:marLeft w:val="0"/>
              <w:marRight w:val="0"/>
              <w:marTop w:val="0"/>
              <w:marBottom w:val="0"/>
              <w:divBdr>
                <w:top w:val="none" w:sz="0" w:space="0" w:color="auto"/>
                <w:left w:val="none" w:sz="0" w:space="0" w:color="auto"/>
                <w:bottom w:val="none" w:sz="0" w:space="0" w:color="auto"/>
                <w:right w:val="none" w:sz="0" w:space="0" w:color="auto"/>
              </w:divBdr>
              <w:divsChild>
                <w:div w:id="143177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48765">
      <w:bodyDiv w:val="1"/>
      <w:marLeft w:val="0"/>
      <w:marRight w:val="0"/>
      <w:marTop w:val="0"/>
      <w:marBottom w:val="0"/>
      <w:divBdr>
        <w:top w:val="none" w:sz="0" w:space="0" w:color="auto"/>
        <w:left w:val="none" w:sz="0" w:space="0" w:color="auto"/>
        <w:bottom w:val="none" w:sz="0" w:space="0" w:color="auto"/>
        <w:right w:val="none" w:sz="0" w:space="0" w:color="auto"/>
      </w:divBdr>
      <w:divsChild>
        <w:div w:id="2010792080">
          <w:marLeft w:val="0"/>
          <w:marRight w:val="0"/>
          <w:marTop w:val="0"/>
          <w:marBottom w:val="0"/>
          <w:divBdr>
            <w:top w:val="none" w:sz="0" w:space="0" w:color="auto"/>
            <w:left w:val="none" w:sz="0" w:space="0" w:color="auto"/>
            <w:bottom w:val="none" w:sz="0" w:space="0" w:color="auto"/>
            <w:right w:val="none" w:sz="0" w:space="0" w:color="auto"/>
          </w:divBdr>
          <w:divsChild>
            <w:div w:id="1349411453">
              <w:marLeft w:val="0"/>
              <w:marRight w:val="0"/>
              <w:marTop w:val="0"/>
              <w:marBottom w:val="0"/>
              <w:divBdr>
                <w:top w:val="none" w:sz="0" w:space="0" w:color="auto"/>
                <w:left w:val="none" w:sz="0" w:space="0" w:color="auto"/>
                <w:bottom w:val="none" w:sz="0" w:space="0" w:color="auto"/>
                <w:right w:val="none" w:sz="0" w:space="0" w:color="auto"/>
              </w:divBdr>
              <w:divsChild>
                <w:div w:id="1388726723">
                  <w:marLeft w:val="0"/>
                  <w:marRight w:val="0"/>
                  <w:marTop w:val="0"/>
                  <w:marBottom w:val="0"/>
                  <w:divBdr>
                    <w:top w:val="none" w:sz="0" w:space="0" w:color="auto"/>
                    <w:left w:val="none" w:sz="0" w:space="0" w:color="auto"/>
                    <w:bottom w:val="none" w:sz="0" w:space="0" w:color="auto"/>
                    <w:right w:val="none" w:sz="0" w:space="0" w:color="auto"/>
                  </w:divBdr>
                  <w:divsChild>
                    <w:div w:id="211046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anutd.com/default.sps?pagegid=%7b78F24B85-702C-4DC8-A5D4-2F67252C28AA%7d&amp;itype=12977&amp;pagebuildpageid=2716&amp;bg=1"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marianne.frei@aonhewitt.com" TargetMode="External"/><Relationship Id="rId5" Type="http://schemas.openxmlformats.org/officeDocument/2006/relationships/image" Target="media/image1.png"/><Relationship Id="rId6" Type="http://schemas.openxmlformats.org/officeDocument/2006/relationships/hyperlink" Target="http://www.press-n-relations.ch" TargetMode="External"/><Relationship Id="rId7" Type="http://schemas.openxmlformats.org/officeDocument/2006/relationships/hyperlink" Target="mailto:fabio.peyer@aonhewitt.com" TargetMode="External"/><Relationship Id="rId8" Type="http://schemas.openxmlformats.org/officeDocument/2006/relationships/hyperlink" Target="http://www.aonhewitt.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1170</Words>
  <Characters>6552</Characters>
  <Application>Microsoft Macintosh Word</Application>
  <DocSecurity>0</DocSecurity>
  <Lines>121</Lines>
  <Paragraphs>34</Paragraphs>
  <ScaleCrop>false</ScaleCrop>
  <Company>Press'n'Relations </Company>
  <LinksUpToDate>false</LinksUpToDate>
  <CharactersWithSpaces>8190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34</cp:revision>
  <dcterms:created xsi:type="dcterms:W3CDTF">2013-11-01T13:51:00Z</dcterms:created>
  <dcterms:modified xsi:type="dcterms:W3CDTF">2013-11-06T16:11:00Z</dcterms:modified>
</cp:coreProperties>
</file>