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2EC" w:rsidRPr="00747C06" w:rsidRDefault="00C222EC" w:rsidP="00C222EC">
      <w:pPr>
        <w:pStyle w:val="berschrift1"/>
        <w:rPr>
          <w:color w:val="808080" w:themeColor="background1" w:themeShade="80"/>
        </w:rPr>
      </w:pPr>
      <w:r w:rsidRPr="00747C06">
        <w:rPr>
          <w:color w:val="808080" w:themeColor="background1" w:themeShade="80"/>
        </w:rPr>
        <w:t>Medienmitteilung</w:t>
      </w:r>
    </w:p>
    <w:p w:rsidR="00C222EC" w:rsidRDefault="00C222EC" w:rsidP="00C222EC">
      <w:pPr>
        <w:spacing w:line="288" w:lineRule="auto"/>
        <w:ind w:right="-992"/>
        <w:rPr>
          <w:rFonts w:ascii="Helvetica" w:hAnsi="Helvetica"/>
          <w:sz w:val="20"/>
        </w:rPr>
      </w:pPr>
    </w:p>
    <w:p w:rsidR="00C222EC" w:rsidRDefault="00C222EC" w:rsidP="00C222EC">
      <w:pPr>
        <w:spacing w:line="288" w:lineRule="auto"/>
        <w:ind w:right="-992"/>
        <w:rPr>
          <w:rFonts w:ascii="Helvetica" w:hAnsi="Helvetica" w:cs="Helvetica"/>
          <w:b/>
          <w:bCs/>
        </w:rPr>
      </w:pPr>
      <w:r>
        <w:rPr>
          <w:rFonts w:ascii="Helvetica" w:hAnsi="Helvetica"/>
          <w:sz w:val="20"/>
        </w:rPr>
        <w:t>Luzern, 30. März 2015</w:t>
      </w:r>
    </w:p>
    <w:p w:rsidR="00C222EC" w:rsidRDefault="00C222EC" w:rsidP="00C222EC">
      <w:pPr>
        <w:spacing w:line="288" w:lineRule="auto"/>
        <w:ind w:right="-992"/>
        <w:rPr>
          <w:rFonts w:ascii="Helvetica" w:hAnsi="Helvetica" w:cs="Helvetica"/>
          <w:b/>
          <w:bCs/>
        </w:rPr>
      </w:pPr>
    </w:p>
    <w:p w:rsidR="00C222EC" w:rsidRPr="00621C2C" w:rsidRDefault="00C222EC" w:rsidP="00C222EC">
      <w:pPr>
        <w:spacing w:line="288" w:lineRule="auto"/>
        <w:ind w:right="-992"/>
        <w:rPr>
          <w:rFonts w:ascii="Helvetica" w:hAnsi="Helvetica" w:cs="Helvetica"/>
          <w:b/>
          <w:bCs/>
        </w:rPr>
      </w:pPr>
      <w:r>
        <w:rPr>
          <w:rFonts w:ascii="Helvetica" w:hAnsi="Helvetica" w:cs="Helvetica"/>
          <w:b/>
          <w:bCs/>
        </w:rPr>
        <w:t>AXON IVY bringt Licht ins Dunkel bei digitaler Transformation</w:t>
      </w:r>
    </w:p>
    <w:p w:rsidR="00C222EC" w:rsidRDefault="00C222EC" w:rsidP="00C222EC">
      <w:pPr>
        <w:spacing w:line="288" w:lineRule="auto"/>
        <w:ind w:right="-142"/>
        <w:rPr>
          <w:rFonts w:ascii="Helvetica" w:hAnsi="Helvetica"/>
          <w:sz w:val="20"/>
        </w:rPr>
      </w:pPr>
      <w:r>
        <w:rPr>
          <w:rFonts w:ascii="Helvetica" w:hAnsi="Helvetica"/>
          <w:sz w:val="20"/>
        </w:rPr>
        <w:t>Der Digitalisierungsspezialist bietet neu Potenzialanalyse für Prozessautomatisierung an</w:t>
      </w:r>
    </w:p>
    <w:p w:rsidR="00C222EC" w:rsidRDefault="00C222EC" w:rsidP="00C222EC">
      <w:pPr>
        <w:spacing w:line="288" w:lineRule="auto"/>
        <w:ind w:right="-142"/>
        <w:rPr>
          <w:rFonts w:ascii="Helvetica" w:hAnsi="Helvetica"/>
          <w:sz w:val="20"/>
        </w:rPr>
      </w:pPr>
    </w:p>
    <w:p w:rsidR="00C222EC" w:rsidRDefault="00C222EC" w:rsidP="00C222EC">
      <w:pPr>
        <w:spacing w:line="288" w:lineRule="auto"/>
        <w:ind w:right="-142"/>
        <w:rPr>
          <w:rFonts w:ascii="Helvetica" w:hAnsi="Helvetica"/>
          <w:b/>
          <w:sz w:val="20"/>
        </w:rPr>
      </w:pPr>
      <w:r>
        <w:rPr>
          <w:rFonts w:ascii="Helvetica" w:hAnsi="Helvetica"/>
          <w:b/>
          <w:sz w:val="20"/>
        </w:rPr>
        <w:t xml:space="preserve">Digitale Transformation ist eines der ganz grossen Themen der </w:t>
      </w:r>
      <w:r w:rsidRPr="00DA2DC0">
        <w:rPr>
          <w:rFonts w:ascii="Helvetica" w:hAnsi="Helvetica"/>
          <w:b/>
          <w:sz w:val="20"/>
        </w:rPr>
        <w:t xml:space="preserve">Wirtschaft und </w:t>
      </w:r>
      <w:r>
        <w:rPr>
          <w:rFonts w:ascii="Helvetica" w:hAnsi="Helvetica"/>
          <w:b/>
          <w:sz w:val="20"/>
        </w:rPr>
        <w:t xml:space="preserve">der öffentlichen </w:t>
      </w:r>
      <w:r w:rsidRPr="00DA2DC0">
        <w:rPr>
          <w:rFonts w:ascii="Helvetica" w:hAnsi="Helvetica"/>
          <w:b/>
          <w:sz w:val="20"/>
        </w:rPr>
        <w:t>Verwaltung. Einerseits muss die Unternehmens-IT die Automatisi</w:t>
      </w:r>
      <w:r w:rsidRPr="00DA2DC0">
        <w:rPr>
          <w:rFonts w:ascii="Helvetica" w:hAnsi="Helvetica"/>
          <w:b/>
          <w:sz w:val="20"/>
        </w:rPr>
        <w:t>e</w:t>
      </w:r>
      <w:r w:rsidRPr="00DA2DC0">
        <w:rPr>
          <w:rFonts w:ascii="Helvetica" w:hAnsi="Helvetica"/>
          <w:b/>
          <w:sz w:val="20"/>
        </w:rPr>
        <w:t>rung vo</w:t>
      </w:r>
      <w:r>
        <w:rPr>
          <w:rFonts w:ascii="Helvetica" w:hAnsi="Helvetica"/>
          <w:b/>
          <w:sz w:val="20"/>
        </w:rPr>
        <w:t>n Geschäftsprozessen ermöglichen, denn diese sind bei der Digitalisi</w:t>
      </w:r>
      <w:r>
        <w:rPr>
          <w:rFonts w:ascii="Helvetica" w:hAnsi="Helvetica"/>
          <w:b/>
          <w:sz w:val="20"/>
        </w:rPr>
        <w:t>e</w:t>
      </w:r>
      <w:r>
        <w:rPr>
          <w:rFonts w:ascii="Helvetica" w:hAnsi="Helvetica"/>
          <w:b/>
          <w:sz w:val="20"/>
        </w:rPr>
        <w:t>rung immer als erste betroffen. Andererseits wissen die Verantwortlichen oftmals nicht, bei welchen Prozessen der grösstmögliche Nutzen erzielt werden kann, g</w:t>
      </w:r>
      <w:r>
        <w:rPr>
          <w:rFonts w:ascii="Helvetica" w:hAnsi="Helvetica"/>
          <w:b/>
          <w:sz w:val="20"/>
        </w:rPr>
        <w:t>e</w:t>
      </w:r>
      <w:r>
        <w:rPr>
          <w:rFonts w:ascii="Helvetica" w:hAnsi="Helvetica"/>
          <w:b/>
          <w:sz w:val="20"/>
        </w:rPr>
        <w:t>schweige denn, ob sich ein solches Digitalisierungsprojekt rechnet. Aus diesem Grund baut das Software-Haus AXON IVY sein Beratungsangebot aus: Mit der P</w:t>
      </w:r>
      <w:r>
        <w:rPr>
          <w:rFonts w:ascii="Helvetica" w:hAnsi="Helvetica"/>
          <w:b/>
          <w:sz w:val="20"/>
        </w:rPr>
        <w:t>o</w:t>
      </w:r>
      <w:r>
        <w:rPr>
          <w:rFonts w:ascii="Helvetica" w:hAnsi="Helvetica"/>
          <w:b/>
          <w:sz w:val="20"/>
        </w:rPr>
        <w:t>tenzialanalyse für Prozessautomatisierung (PPA) erhalten Unternehmen die no</w:t>
      </w:r>
      <w:r>
        <w:rPr>
          <w:rFonts w:ascii="Helvetica" w:hAnsi="Helvetica"/>
          <w:b/>
          <w:sz w:val="20"/>
        </w:rPr>
        <w:t>t</w:t>
      </w:r>
      <w:r>
        <w:rPr>
          <w:rFonts w:ascii="Helvetica" w:hAnsi="Helvetica"/>
          <w:b/>
          <w:sz w:val="20"/>
        </w:rPr>
        <w:t>wendige Transparenz zum Optimierungspotenzial von Geschäftsprozessen und über die Kosten von BPM-Vorhaben. Die PPA zeigt auf, wo in einem Unternehmen oder in einer öffentlichen Verwaltung der Schuh drückt und wo IT-</w:t>
      </w:r>
      <w:r w:rsidRPr="00DA2DC0">
        <w:rPr>
          <w:rFonts w:ascii="Helvetica" w:hAnsi="Helvetica"/>
          <w:b/>
          <w:sz w:val="20"/>
        </w:rPr>
        <w:t>gestützte Pr</w:t>
      </w:r>
      <w:r w:rsidRPr="00DA2DC0">
        <w:rPr>
          <w:rFonts w:ascii="Helvetica" w:hAnsi="Helvetica"/>
          <w:b/>
          <w:sz w:val="20"/>
        </w:rPr>
        <w:t>o</w:t>
      </w:r>
      <w:r w:rsidRPr="00DA2DC0">
        <w:rPr>
          <w:rFonts w:ascii="Helvetica" w:hAnsi="Helvetica"/>
          <w:b/>
          <w:sz w:val="20"/>
        </w:rPr>
        <w:t>zessautomatisierung</w:t>
      </w:r>
      <w:r>
        <w:rPr>
          <w:rFonts w:ascii="Helvetica" w:hAnsi="Helvetica"/>
          <w:b/>
          <w:sz w:val="20"/>
        </w:rPr>
        <w:t xml:space="preserve"> am meisten Nutzen bringt. Und sie liefert den </w:t>
      </w:r>
      <w:proofErr w:type="gramStart"/>
      <w:r>
        <w:rPr>
          <w:rFonts w:ascii="Helvetica" w:hAnsi="Helvetica"/>
          <w:b/>
          <w:sz w:val="20"/>
        </w:rPr>
        <w:t>Nachweis des Return</w:t>
      </w:r>
      <w:proofErr w:type="gramEnd"/>
      <w:r>
        <w:rPr>
          <w:rFonts w:ascii="Helvetica" w:hAnsi="Helvetica"/>
          <w:b/>
          <w:sz w:val="20"/>
        </w:rPr>
        <w:t xml:space="preserve"> on Investment, eine nachvollziehbare Investitionsrechnung und eine exakte Kalkulation für Umsetzungsprojekte. Das standardisierte Verfahren schafft damit das Fundament für eine verlässliche Planung und eine erfolgreiche Umsetzung von Digitalisierungsvorhaben.</w:t>
      </w:r>
    </w:p>
    <w:p w:rsidR="00C222EC" w:rsidRDefault="00C222EC" w:rsidP="00C222EC">
      <w:pPr>
        <w:spacing w:line="288" w:lineRule="auto"/>
        <w:ind w:right="-142"/>
        <w:rPr>
          <w:rFonts w:ascii="Helvetica" w:hAnsi="Helvetica"/>
          <w:b/>
          <w:sz w:val="20"/>
        </w:rPr>
      </w:pPr>
    </w:p>
    <w:p w:rsidR="00C222EC" w:rsidRDefault="00C222EC" w:rsidP="00C222EC">
      <w:pPr>
        <w:spacing w:line="288" w:lineRule="auto"/>
        <w:ind w:right="-142"/>
        <w:rPr>
          <w:rFonts w:ascii="Helvetica" w:hAnsi="Helvetica"/>
          <w:sz w:val="20"/>
        </w:rPr>
      </w:pPr>
      <w:r>
        <w:rPr>
          <w:rFonts w:ascii="Helvetica" w:hAnsi="Helvetica"/>
          <w:sz w:val="20"/>
        </w:rPr>
        <w:t>„Die Digitalisierung unserer Gesellschaft schreitet mit Riesenschritten voran. Hinzu ko</w:t>
      </w:r>
      <w:r>
        <w:rPr>
          <w:rFonts w:ascii="Helvetica" w:hAnsi="Helvetica"/>
          <w:sz w:val="20"/>
        </w:rPr>
        <w:t>m</w:t>
      </w:r>
      <w:r>
        <w:rPr>
          <w:rFonts w:ascii="Helvetica" w:hAnsi="Helvetica"/>
          <w:sz w:val="20"/>
        </w:rPr>
        <w:t>men Kostendruck und Frankenstärke, was die Unternehmen vor grosse Herausforderu</w:t>
      </w:r>
      <w:r>
        <w:rPr>
          <w:rFonts w:ascii="Helvetica" w:hAnsi="Helvetica"/>
          <w:sz w:val="20"/>
        </w:rPr>
        <w:t>n</w:t>
      </w:r>
      <w:r>
        <w:rPr>
          <w:rFonts w:ascii="Helvetica" w:hAnsi="Helvetica"/>
          <w:sz w:val="20"/>
        </w:rPr>
        <w:t>gen stellt. Wo im Unternehmen das grösste Optimierungspotenzial ist</w:t>
      </w:r>
      <w:proofErr w:type="gramStart"/>
      <w:r>
        <w:rPr>
          <w:rFonts w:ascii="Helvetica" w:hAnsi="Helvetica"/>
          <w:sz w:val="20"/>
        </w:rPr>
        <w:t>, wissen</w:t>
      </w:r>
      <w:proofErr w:type="gramEnd"/>
      <w:r>
        <w:rPr>
          <w:rFonts w:ascii="Helvetica" w:hAnsi="Helvetica"/>
          <w:sz w:val="20"/>
        </w:rPr>
        <w:t xml:space="preserve"> viele nicht“, sagt Markus Fischer, Country Manager von AXON IVY Schweiz. „Oder sie sind sich der Komplexität von Digitalisierungsvorhaben  nicht bewusst, was oft dazu führt, dass Proje</w:t>
      </w:r>
      <w:r>
        <w:rPr>
          <w:rFonts w:ascii="Helvetica" w:hAnsi="Helvetica"/>
          <w:sz w:val="20"/>
        </w:rPr>
        <w:t>k</w:t>
      </w:r>
      <w:r>
        <w:rPr>
          <w:rFonts w:ascii="Helvetica" w:hAnsi="Helvetica"/>
          <w:sz w:val="20"/>
        </w:rPr>
        <w:t>te abgebrochen oder auf Eis gelegt werden.“ Die PPA lege offen, wo der Hebel anzuse</w:t>
      </w:r>
      <w:r>
        <w:rPr>
          <w:rFonts w:ascii="Helvetica" w:hAnsi="Helvetica"/>
          <w:sz w:val="20"/>
        </w:rPr>
        <w:t>t</w:t>
      </w:r>
      <w:r>
        <w:rPr>
          <w:rFonts w:ascii="Helvetica" w:hAnsi="Helvetica"/>
          <w:sz w:val="20"/>
        </w:rPr>
        <w:t>zen ist, um durch Optimierung und Automatisierung der Geschäftsprozesse und zuve</w:t>
      </w:r>
      <w:r>
        <w:rPr>
          <w:rFonts w:ascii="Helvetica" w:hAnsi="Helvetica"/>
          <w:sz w:val="20"/>
        </w:rPr>
        <w:t>r</w:t>
      </w:r>
      <w:r>
        <w:rPr>
          <w:rFonts w:ascii="Helvetica" w:hAnsi="Helvetica"/>
          <w:sz w:val="20"/>
        </w:rPr>
        <w:t xml:space="preserve">lässige Planung den Unternehmenserfolg zu verbessern. „Um konkurrenzfähig zu bleiben und die Wettbewerbsfähigkeit zu steigern, lohnt sich die vergleichsweise kostengünstige Analyse, um sich einen Überblick über Potenzial und den Nutzen sowie die Kosten zu verschaffen“, so Fischer. </w:t>
      </w:r>
    </w:p>
    <w:p w:rsidR="00C222EC" w:rsidRPr="00743826" w:rsidRDefault="00C222EC" w:rsidP="00C222EC">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C222EC" w:rsidRPr="008B2D7C">
        <w:trPr>
          <w:trHeight w:val="73"/>
        </w:trPr>
        <w:tc>
          <w:tcPr>
            <w:tcW w:w="5315" w:type="dxa"/>
          </w:tcPr>
          <w:p w:rsidR="00C222EC" w:rsidRPr="00E278EF" w:rsidRDefault="00C222EC" w:rsidP="005001AE">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E278EF">
              <w:rPr>
                <w:rFonts w:ascii="Helvetica" w:eastAsia="Times New Roman" w:hAnsi="Helvetica"/>
                <w:b/>
                <w:sz w:val="16"/>
              </w:rPr>
              <w:t>Weitere Informationen:</w:t>
            </w:r>
          </w:p>
          <w:p w:rsidR="00C222EC" w:rsidRPr="007F71A7" w:rsidRDefault="00C222EC" w:rsidP="005001AE">
            <w:pPr>
              <w:widowControl w:val="0"/>
              <w:adjustRightInd w:val="0"/>
              <w:spacing w:line="288" w:lineRule="auto"/>
              <w:rPr>
                <w:rFonts w:ascii="Helvetica" w:eastAsia="Times New Roman" w:hAnsi="Helvetica"/>
                <w:sz w:val="16"/>
                <w:lang w:val="de-CH"/>
              </w:rPr>
            </w:pPr>
            <w:r>
              <w:rPr>
                <w:rFonts w:ascii="Helvetica" w:eastAsia="Times New Roman" w:hAnsi="Helvetica"/>
                <w:sz w:val="16"/>
                <w:lang w:val="de-CH"/>
              </w:rPr>
              <w:t>AXON IVY</w:t>
            </w:r>
            <w:r w:rsidRPr="00AA2413">
              <w:rPr>
                <w:rFonts w:ascii="Helvetica" w:eastAsia="Times New Roman" w:hAnsi="Helvetica"/>
                <w:sz w:val="16"/>
                <w:lang w:val="de-CH"/>
              </w:rPr>
              <w:t xml:space="preserve"> – Markus </w:t>
            </w:r>
            <w:r w:rsidRPr="007F71A7">
              <w:rPr>
                <w:rFonts w:ascii="Helvetica" w:eastAsia="Times New Roman" w:hAnsi="Helvetica"/>
                <w:sz w:val="16"/>
                <w:lang w:val="de-CH"/>
              </w:rPr>
              <w:t>Fischer, Country Manager</w:t>
            </w:r>
          </w:p>
          <w:p w:rsidR="00C222EC" w:rsidRPr="007F71A7" w:rsidRDefault="00C222EC" w:rsidP="005001AE">
            <w:pPr>
              <w:widowControl w:val="0"/>
              <w:adjustRightInd w:val="0"/>
              <w:spacing w:line="288" w:lineRule="auto"/>
              <w:rPr>
                <w:rFonts w:ascii="Helvetica" w:eastAsia="Times New Roman" w:hAnsi="Helvetica"/>
                <w:sz w:val="16"/>
              </w:rPr>
            </w:pPr>
            <w:r w:rsidRPr="007F71A7">
              <w:rPr>
                <w:rFonts w:ascii="Helvetica" w:eastAsia="Times New Roman" w:hAnsi="Helvetica"/>
                <w:sz w:val="16"/>
              </w:rPr>
              <w:t>Schlössli Schönegg, Wilhelmshöhe – 6000 Luzern 7</w:t>
            </w:r>
          </w:p>
          <w:p w:rsidR="00C222EC" w:rsidRPr="007F71A7" w:rsidRDefault="00C222EC" w:rsidP="005001AE">
            <w:pPr>
              <w:widowControl w:val="0"/>
              <w:adjustRightInd w:val="0"/>
              <w:spacing w:line="288" w:lineRule="auto"/>
              <w:rPr>
                <w:rFonts w:ascii="Helvetica" w:eastAsia="Times New Roman" w:hAnsi="Helvetica"/>
                <w:sz w:val="16"/>
              </w:rPr>
            </w:pPr>
            <w:r w:rsidRPr="007F71A7">
              <w:rPr>
                <w:rFonts w:ascii="Helvetica" w:eastAsia="Times New Roman" w:hAnsi="Helvetica"/>
                <w:sz w:val="16"/>
              </w:rPr>
              <w:t>Tel. +41 58 666 36 36</w:t>
            </w:r>
          </w:p>
          <w:p w:rsidR="00C222EC" w:rsidRPr="00ED28D0" w:rsidRDefault="00A3605C" w:rsidP="005001AE">
            <w:pPr>
              <w:widowControl w:val="0"/>
              <w:tabs>
                <w:tab w:val="right" w:pos="5175"/>
              </w:tabs>
              <w:adjustRightInd w:val="0"/>
              <w:spacing w:line="288" w:lineRule="auto"/>
              <w:rPr>
                <w:rFonts w:ascii="Helvetica" w:eastAsia="Times New Roman" w:hAnsi="Helvetica"/>
                <w:sz w:val="16"/>
              </w:rPr>
            </w:pPr>
            <w:hyperlink r:id="rId4" w:history="1">
              <w:r w:rsidR="00C222EC" w:rsidRPr="007F71A7">
                <w:rPr>
                  <w:rFonts w:ascii="Helvetica" w:eastAsia="Times New Roman" w:hAnsi="Helvetica"/>
                  <w:sz w:val="16"/>
                </w:rPr>
                <w:t>markus.fischer@axonivy.com</w:t>
              </w:r>
            </w:hyperlink>
            <w:r w:rsidR="00C222EC" w:rsidRPr="007F71A7">
              <w:rPr>
                <w:rFonts w:ascii="Helvetica" w:eastAsia="Times New Roman" w:hAnsi="Helvetica"/>
                <w:sz w:val="16"/>
              </w:rPr>
              <w:t xml:space="preserve"> – </w:t>
            </w:r>
            <w:hyperlink r:id="rId5" w:history="1">
              <w:r w:rsidR="00C222EC" w:rsidRPr="007F71A7">
                <w:rPr>
                  <w:rFonts w:ascii="Helvetica" w:eastAsia="Times New Roman" w:hAnsi="Helvetica"/>
                  <w:sz w:val="16"/>
                </w:rPr>
                <w:t>www.axonivy.com</w:t>
              </w:r>
            </w:hyperlink>
            <w:r w:rsidR="00C222EC" w:rsidRPr="007F71A7">
              <w:rPr>
                <w:rFonts w:ascii="Helvetica" w:eastAsia="Times New Roman" w:hAnsi="Helvetica"/>
                <w:sz w:val="16"/>
              </w:rPr>
              <w:t xml:space="preserve"> </w:t>
            </w:r>
            <w:r w:rsidR="00C222EC" w:rsidRPr="007F71A7">
              <w:rPr>
                <w:rFonts w:ascii="Helvetica" w:eastAsia="Times New Roman" w:hAnsi="Helvetica"/>
                <w:sz w:val="16"/>
              </w:rPr>
              <w:tab/>
            </w:r>
            <w:r w:rsidR="00C222EC">
              <w:rPr>
                <w:rFonts w:ascii="Helvetica" w:eastAsia="Times New Roman" w:hAnsi="Helvetica"/>
                <w:sz w:val="16"/>
              </w:rPr>
              <w:t xml:space="preserve"> </w:t>
            </w:r>
          </w:p>
        </w:tc>
        <w:tc>
          <w:tcPr>
            <w:tcW w:w="4394" w:type="dxa"/>
          </w:tcPr>
          <w:p w:rsidR="00C222EC" w:rsidRPr="00E278EF" w:rsidRDefault="00C222EC" w:rsidP="005001AE">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C222EC" w:rsidRPr="008253EF" w:rsidRDefault="00C222EC" w:rsidP="005001A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C222EC" w:rsidRPr="008253EF" w:rsidRDefault="00C222EC" w:rsidP="005001A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C222EC" w:rsidRPr="008253EF" w:rsidRDefault="00C222EC" w:rsidP="005001A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p>
          <w:p w:rsidR="00C222EC" w:rsidRPr="008B2D7C" w:rsidRDefault="00A3605C" w:rsidP="005001AE">
            <w:pPr>
              <w:widowControl w:val="0"/>
              <w:adjustRightInd w:val="0"/>
              <w:spacing w:line="288" w:lineRule="auto"/>
              <w:rPr>
                <w:rFonts w:ascii="Helvetica" w:eastAsia="Times New Roman" w:hAnsi="Helvetica"/>
                <w:sz w:val="16"/>
              </w:rPr>
            </w:pPr>
            <w:hyperlink r:id="rId6" w:history="1">
              <w:r w:rsidR="00C222EC" w:rsidRPr="00C4323A">
                <w:rPr>
                  <w:rFonts w:ascii="Helvetica" w:eastAsia="Times New Roman" w:hAnsi="Helvetica"/>
                  <w:sz w:val="16"/>
                </w:rPr>
                <w:t>mh@press-n-relations.ch</w:t>
              </w:r>
            </w:hyperlink>
            <w:r w:rsidR="00C222EC">
              <w:rPr>
                <w:rFonts w:ascii="Helvetica" w:eastAsia="Times New Roman" w:hAnsi="Helvetica"/>
                <w:sz w:val="16"/>
              </w:rPr>
              <w:t xml:space="preserve"> </w:t>
            </w:r>
            <w:r w:rsidR="00C222EC" w:rsidRPr="008253EF">
              <w:rPr>
                <w:rFonts w:ascii="Helvetica" w:eastAsia="Times New Roman" w:hAnsi="Helvetica"/>
                <w:sz w:val="16"/>
              </w:rPr>
              <w:t>– www.press-n-relations.ch</w:t>
            </w:r>
          </w:p>
        </w:tc>
      </w:tr>
    </w:tbl>
    <w:p w:rsidR="00C222EC" w:rsidRDefault="00C222EC" w:rsidP="00C222EC">
      <w:pPr>
        <w:rPr>
          <w:rFonts w:ascii="Helvetica" w:eastAsia="Times New Roman" w:hAnsi="Helvetica"/>
          <w:sz w:val="18"/>
        </w:rPr>
      </w:pPr>
    </w:p>
    <w:p w:rsidR="00C222EC" w:rsidRDefault="00C222EC" w:rsidP="00C222EC">
      <w:pPr>
        <w:rPr>
          <w:rFonts w:ascii="Helvetica" w:eastAsia="Times New Roman" w:hAnsi="Helvetica"/>
          <w:sz w:val="18"/>
        </w:rPr>
      </w:pPr>
    </w:p>
    <w:p w:rsidR="00C222EC" w:rsidRPr="007F71A7" w:rsidRDefault="00C222EC" w:rsidP="00C222EC">
      <w:pPr>
        <w:rPr>
          <w:rFonts w:ascii="Helvetica" w:eastAsia="Times New Roman" w:hAnsi="Helvetica"/>
          <w:sz w:val="18"/>
        </w:rPr>
      </w:pPr>
      <w:r w:rsidRPr="007F71A7">
        <w:rPr>
          <w:rFonts w:ascii="Helvetica" w:eastAsia="Times New Roman" w:hAnsi="Helvetica"/>
          <w:b/>
          <w:sz w:val="18"/>
        </w:rPr>
        <w:t xml:space="preserve">Über AXON IVY </w:t>
      </w:r>
    </w:p>
    <w:p w:rsidR="00C222EC" w:rsidRDefault="00C222EC" w:rsidP="00C222EC">
      <w:r w:rsidRPr="007F71A7">
        <w:rPr>
          <w:rFonts w:ascii="Helvetica" w:eastAsia="Times New Roman" w:hAnsi="Helvetica"/>
          <w:sz w:val="18"/>
        </w:rPr>
        <w:t xml:space="preserve">Die </w:t>
      </w:r>
      <w:r>
        <w:rPr>
          <w:rFonts w:ascii="Helvetica" w:eastAsia="Times New Roman" w:hAnsi="Helvetica"/>
          <w:sz w:val="18"/>
        </w:rPr>
        <w:t>AXON IVY</w:t>
      </w:r>
      <w:r w:rsidRPr="007F71A7">
        <w:rPr>
          <w:rFonts w:ascii="Helvetica" w:eastAsia="Times New Roman" w:hAnsi="Helvetica"/>
          <w:sz w:val="18"/>
        </w:rPr>
        <w:t xml:space="preserve"> gehört zur AXON ACTIVE Gruppe</w:t>
      </w:r>
      <w:proofErr w:type="gramStart"/>
      <w:r w:rsidRPr="007F71A7">
        <w:rPr>
          <w:rFonts w:ascii="Helvetica" w:eastAsia="Times New Roman" w:hAnsi="Helvetica"/>
          <w:sz w:val="18"/>
        </w:rPr>
        <w:t>, die</w:t>
      </w:r>
      <w:proofErr w:type="gramEnd"/>
      <w:r w:rsidRPr="007F71A7">
        <w:rPr>
          <w:rFonts w:ascii="Helvetica" w:eastAsia="Times New Roman" w:hAnsi="Helvetica"/>
          <w:sz w:val="18"/>
        </w:rPr>
        <w:t xml:space="preserve"> 1994 in Zug (CH</w:t>
      </w:r>
      <w:r w:rsidRPr="00732449">
        <w:rPr>
          <w:rFonts w:ascii="Helvetica" w:eastAsia="Times New Roman" w:hAnsi="Helvetica"/>
          <w:sz w:val="18"/>
        </w:rPr>
        <w:t>) gegründet wurde. Neben dem Hauptsitz in Luzern ist die AXON IVY mit Niederlassungen in München, Wien, Singapur und im Silicon Valley vertreten und verfügt über eigene Entwicklungslabore in der Schweiz sowie in Vietnam. Die</w:t>
      </w:r>
      <w:r>
        <w:rPr>
          <w:rFonts w:ascii="Helvetica" w:eastAsia="Times New Roman" w:hAnsi="Helvetica"/>
          <w:sz w:val="18"/>
        </w:rPr>
        <w:t xml:space="preserve"> </w:t>
      </w:r>
      <w:r w:rsidRPr="00732449">
        <w:rPr>
          <w:rFonts w:ascii="Helvetica" w:eastAsia="Times New Roman" w:hAnsi="Helvetica"/>
          <w:sz w:val="18"/>
        </w:rPr>
        <w:t>Schweizer AXON ACTIVE Gruppe beschäftigt 550 Mitarbeiter, und es nutzen wel</w:t>
      </w:r>
      <w:r w:rsidRPr="00732449">
        <w:rPr>
          <w:rFonts w:ascii="Helvetica" w:eastAsia="Times New Roman" w:hAnsi="Helvetica"/>
          <w:sz w:val="18"/>
        </w:rPr>
        <w:t>t</w:t>
      </w:r>
      <w:r w:rsidRPr="00732449">
        <w:rPr>
          <w:rFonts w:ascii="Helvetica" w:eastAsia="Times New Roman" w:hAnsi="Helvetica"/>
          <w:sz w:val="18"/>
        </w:rPr>
        <w:t>weit 350 Gro</w:t>
      </w:r>
      <w:r>
        <w:rPr>
          <w:rFonts w:ascii="Helvetica" w:eastAsia="Times New Roman" w:hAnsi="Helvetica"/>
          <w:sz w:val="18"/>
        </w:rPr>
        <w:t>ss</w:t>
      </w:r>
      <w:r w:rsidRPr="00732449">
        <w:rPr>
          <w:rFonts w:ascii="Helvetica" w:eastAsia="Times New Roman" w:hAnsi="Helvetica"/>
          <w:sz w:val="18"/>
        </w:rPr>
        <w:t>konzerne und KMU aller Branchen die Axon.ivy BPM Suite.</w:t>
      </w:r>
    </w:p>
    <w:p w:rsidR="00C222EC" w:rsidRDefault="00C222EC" w:rsidP="00C222EC"/>
    <w:p w:rsidR="00C222EC" w:rsidRDefault="00C222EC" w:rsidP="00C222EC"/>
    <w:p w:rsidR="00C222EC" w:rsidRDefault="00C222EC" w:rsidP="00C222EC"/>
    <w:p w:rsidR="005001AE" w:rsidRDefault="005001AE"/>
    <w:sectPr w:rsidR="005001AE" w:rsidSect="00747C06">
      <w:headerReference w:type="default" r:id="rId7"/>
      <w:pgSz w:w="11899" w:h="16838"/>
      <w:pgMar w:top="1418" w:right="2685"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5A7B" w:rsidRDefault="00325A7B">
    <w:pPr>
      <w:pStyle w:val="Kopfzeile"/>
      <w:tabs>
        <w:tab w:val="clear" w:pos="9072"/>
        <w:tab w:val="right" w:pos="9639"/>
      </w:tabs>
    </w:pPr>
    <w:r>
      <w:rPr>
        <w:noProof/>
      </w:rPr>
      <w:drawing>
        <wp:inline distT="0" distB="0" distL="0" distR="0">
          <wp:extent cx="1802130" cy="473636"/>
          <wp:effectExtent l="25400" t="0" r="1270" b="0"/>
          <wp:docPr id="1" name="Bild 1" descr=":::::::Desktop:Axon_Ivy_BPM-Suite_Lo#16900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Axon_Ivy_BPM-Suite_Lo#16900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4"/>
                      <a:srcRect/>
                      <a:stretch>
                        <a:fillRect/>
                      </a:stretch>
                    </pic:blipFill>
                  </ve:Fallback>
                </ve:AlternateContent>
                <pic:spPr bwMode="auto">
                  <a:xfrm>
                    <a:off x="0" y="0"/>
                    <a:ext cx="1803005" cy="473866"/>
                  </a:xfrm>
                  <a:prstGeom prst="rect">
                    <a:avLst/>
                  </a:prstGeom>
                  <a:noFill/>
                  <a:ln w="9525">
                    <a:noFill/>
                    <a:miter lim="800000"/>
                    <a:headEnd/>
                    <a:tailEnd/>
                  </a:ln>
                </pic:spPr>
              </pic:pic>
            </a:graphicData>
          </a:graphic>
        </wp:inline>
      </w:drawing>
    </w:r>
    <w:r>
      <w:tab/>
      <w:t xml:space="preserve">          </w:t>
    </w:r>
    <w:r>
      <w:tab/>
    </w:r>
    <w:r>
      <w:tab/>
    </w:r>
    <w:r>
      <w:tab/>
    </w:r>
    <w:r>
      <w:tab/>
    </w:r>
  </w:p>
  <w:p w:rsidR="00325A7B" w:rsidRDefault="00325A7B">
    <w:pPr>
      <w:pStyle w:val="Kopfzeile"/>
      <w:tabs>
        <w:tab w:val="clear" w:pos="9072"/>
        <w:tab w:val="right" w:pos="9639"/>
      </w:tabs>
      <w:rPr>
        <w:noProof/>
      </w:rPr>
    </w:pPr>
    <w:r>
      <w:rPr>
        <w:noProof/>
      </w:rPr>
      <w:tab/>
    </w:r>
  </w:p>
  <w:p w:rsidR="00325A7B" w:rsidRDefault="00325A7B">
    <w:pPr>
      <w:pStyle w:val="Kopfzeile"/>
      <w:tabs>
        <w:tab w:val="clear" w:pos="9072"/>
        <w:tab w:val="right" w:pos="9639"/>
      </w:tabs>
    </w:pPr>
    <w:r>
      <w:rPr>
        <w:noProof/>
      </w:rPr>
      <w:tab/>
      <w:t xml:space="preserve">  </w:t>
    </w:r>
  </w:p>
  <w:p w:rsidR="00325A7B" w:rsidRDefault="00325A7B">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91C05"/>
    <w:rsid w:val="00096CEB"/>
    <w:rsid w:val="00140484"/>
    <w:rsid w:val="00144AEB"/>
    <w:rsid w:val="001E186F"/>
    <w:rsid w:val="002B12A6"/>
    <w:rsid w:val="00325A7B"/>
    <w:rsid w:val="00400938"/>
    <w:rsid w:val="004B635E"/>
    <w:rsid w:val="005001AE"/>
    <w:rsid w:val="00527B17"/>
    <w:rsid w:val="00537F9D"/>
    <w:rsid w:val="005E75F0"/>
    <w:rsid w:val="00646DE5"/>
    <w:rsid w:val="00673B9C"/>
    <w:rsid w:val="00696FFF"/>
    <w:rsid w:val="006C52B2"/>
    <w:rsid w:val="00710F86"/>
    <w:rsid w:val="00722106"/>
    <w:rsid w:val="00722A8C"/>
    <w:rsid w:val="00743826"/>
    <w:rsid w:val="00747C06"/>
    <w:rsid w:val="00991C05"/>
    <w:rsid w:val="00A3605C"/>
    <w:rsid w:val="00A54D0A"/>
    <w:rsid w:val="00AD57C5"/>
    <w:rsid w:val="00BF1FC6"/>
    <w:rsid w:val="00C222EC"/>
    <w:rsid w:val="00D41085"/>
    <w:rsid w:val="00D8037F"/>
    <w:rsid w:val="00E132FF"/>
    <w:rsid w:val="00E659E0"/>
    <w:rsid w:val="00F32B4D"/>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91C05"/>
    <w:rPr>
      <w:rFonts w:ascii="Times" w:eastAsia="Times" w:hAnsi="Times" w:cs="Times New Roman"/>
      <w:lang w:eastAsia="de-DE"/>
    </w:rPr>
  </w:style>
  <w:style w:type="paragraph" w:styleId="berschrift1">
    <w:name w:val="heading 1"/>
    <w:basedOn w:val="Standard"/>
    <w:next w:val="Standard"/>
    <w:link w:val="berschrift1Zeichen"/>
    <w:uiPriority w:val="9"/>
    <w:qFormat/>
    <w:rsid w:val="002B12A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991C05"/>
    <w:pPr>
      <w:tabs>
        <w:tab w:val="center" w:pos="4536"/>
        <w:tab w:val="right" w:pos="9072"/>
      </w:tabs>
    </w:pPr>
  </w:style>
  <w:style w:type="character" w:customStyle="1" w:styleId="KopfzeileZeichen">
    <w:name w:val="Kopfzeile Zeichen"/>
    <w:basedOn w:val="Absatzstandardschriftart"/>
    <w:link w:val="Kopfzeile"/>
    <w:rsid w:val="00991C05"/>
    <w:rPr>
      <w:rFonts w:ascii="Times" w:eastAsia="Times" w:hAnsi="Times" w:cs="Times New Roman"/>
      <w:lang w:eastAsia="de-DE"/>
    </w:rPr>
  </w:style>
  <w:style w:type="character" w:styleId="Kommentarzeichen">
    <w:name w:val="annotation reference"/>
    <w:basedOn w:val="Absatzstandardschriftart"/>
    <w:uiPriority w:val="99"/>
    <w:semiHidden/>
    <w:unhideWhenUsed/>
    <w:rsid w:val="00527B17"/>
    <w:rPr>
      <w:sz w:val="18"/>
      <w:szCs w:val="18"/>
    </w:rPr>
  </w:style>
  <w:style w:type="paragraph" w:styleId="Kommentartext">
    <w:name w:val="annotation text"/>
    <w:basedOn w:val="Standard"/>
    <w:link w:val="KommentartextZeichen"/>
    <w:uiPriority w:val="99"/>
    <w:semiHidden/>
    <w:unhideWhenUsed/>
    <w:rsid w:val="00527B17"/>
  </w:style>
  <w:style w:type="character" w:customStyle="1" w:styleId="KommentartextZeichen">
    <w:name w:val="Kommentartext Zeichen"/>
    <w:basedOn w:val="Absatzstandardschriftart"/>
    <w:link w:val="Kommentartext"/>
    <w:uiPriority w:val="99"/>
    <w:semiHidden/>
    <w:rsid w:val="00527B17"/>
    <w:rPr>
      <w:rFonts w:ascii="Times" w:eastAsia="Times" w:hAnsi="Times" w:cs="Times New Roman"/>
      <w:lang w:eastAsia="de-DE"/>
    </w:rPr>
  </w:style>
  <w:style w:type="paragraph" w:styleId="Sprechblasentext">
    <w:name w:val="Balloon Text"/>
    <w:basedOn w:val="Standard"/>
    <w:link w:val="SprechblasentextZeichen"/>
    <w:uiPriority w:val="99"/>
    <w:semiHidden/>
    <w:unhideWhenUsed/>
    <w:rsid w:val="00527B17"/>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27B17"/>
    <w:rPr>
      <w:rFonts w:ascii="Lucida Grande" w:eastAsia="Times" w:hAnsi="Lucida Grande" w:cs="Times New Roman"/>
      <w:sz w:val="18"/>
      <w:szCs w:val="18"/>
      <w:lang w:eastAsia="de-DE"/>
    </w:rPr>
  </w:style>
  <w:style w:type="character" w:customStyle="1" w:styleId="berschrift1Zeichen">
    <w:name w:val="Überschrift 1 Zeichen"/>
    <w:basedOn w:val="Absatzstandardschriftart"/>
    <w:link w:val="berschrift1"/>
    <w:uiPriority w:val="9"/>
    <w:rsid w:val="002B12A6"/>
    <w:rPr>
      <w:rFonts w:asciiTheme="majorHAnsi" w:eastAsiaTheme="majorEastAsia" w:hAnsiTheme="majorHAnsi" w:cstheme="majorBidi"/>
      <w:b/>
      <w:bCs/>
      <w:color w:val="365F91" w:themeColor="accent1" w:themeShade="BF"/>
      <w:sz w:val="28"/>
      <w:szCs w:val="28"/>
      <w:lang w:eastAsia="de-DE"/>
    </w:rPr>
  </w:style>
  <w:style w:type="paragraph" w:styleId="Fuzeile">
    <w:name w:val="footer"/>
    <w:basedOn w:val="Standard"/>
    <w:link w:val="FuzeileZeichen"/>
    <w:uiPriority w:val="99"/>
    <w:semiHidden/>
    <w:unhideWhenUsed/>
    <w:rsid w:val="00747C06"/>
    <w:pPr>
      <w:tabs>
        <w:tab w:val="center" w:pos="4536"/>
        <w:tab w:val="right" w:pos="9072"/>
      </w:tabs>
    </w:pPr>
  </w:style>
  <w:style w:type="character" w:customStyle="1" w:styleId="FuzeileZeichen">
    <w:name w:val="Fußzeile Zeichen"/>
    <w:basedOn w:val="Absatzstandardschriftart"/>
    <w:link w:val="Fuzeile"/>
    <w:uiPriority w:val="99"/>
    <w:semiHidden/>
    <w:rsid w:val="00747C06"/>
    <w:rPr>
      <w:rFonts w:ascii="Times" w:eastAsia="Times" w:hAnsi="Times" w:cs="Times New Roman"/>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markus.fischer@axonivy.com" TargetMode="External"/><Relationship Id="rId5" Type="http://schemas.openxmlformats.org/officeDocument/2006/relationships/hyperlink" Target="http://www.axonivy.com" TargetMode="External"/><Relationship Id="rId6" Type="http://schemas.openxmlformats.org/officeDocument/2006/relationships/hyperlink" Target="mailto:mh@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df"/><Relationship Id="rId4"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2661</Characters>
  <Application>Microsoft Macintosh Word</Application>
  <DocSecurity>0</DocSecurity>
  <Lines>22</Lines>
  <Paragraphs>5</Paragraphs>
  <ScaleCrop>false</ScaleCrop>
  <Company>Press'n'Relations </Company>
  <LinksUpToDate>false</LinksUpToDate>
  <CharactersWithSpaces>3267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22</cp:revision>
  <dcterms:created xsi:type="dcterms:W3CDTF">2015-03-17T14:48:00Z</dcterms:created>
  <dcterms:modified xsi:type="dcterms:W3CDTF">2015-03-30T06:16:00Z</dcterms:modified>
</cp:coreProperties>
</file>