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0A3" w:rsidRPr="00583061" w:rsidRDefault="00DC40A3" w:rsidP="00DC40A3">
      <w:pPr>
        <w:spacing w:line="288" w:lineRule="auto"/>
        <w:rPr>
          <w:rFonts w:ascii="Helvetica" w:hAnsi="Helvetica"/>
          <w:b/>
          <w:color w:val="808080" w:themeColor="background1" w:themeShade="80"/>
          <w:sz w:val="20"/>
        </w:rPr>
      </w:pPr>
      <w:r>
        <w:rPr>
          <w:rFonts w:ascii="Helvetica" w:hAnsi="Helvetica"/>
          <w:b/>
          <w:color w:val="808080" w:themeColor="background1" w:themeShade="80"/>
          <w:sz w:val="20"/>
        </w:rPr>
        <w:t>Medienmitteilung</w:t>
      </w:r>
    </w:p>
    <w:p w:rsidR="00DC40A3" w:rsidRPr="005A507D" w:rsidRDefault="003B273A" w:rsidP="00DC40A3">
      <w:pPr>
        <w:spacing w:line="288" w:lineRule="auto"/>
        <w:ind w:right="-992"/>
        <w:rPr>
          <w:rFonts w:ascii="Helvetica" w:hAnsi="Helvetica"/>
          <w:sz w:val="20"/>
        </w:rPr>
      </w:pPr>
      <w:r>
        <w:rPr>
          <w:rFonts w:ascii="Helvetica" w:hAnsi="Helvetica"/>
          <w:sz w:val="20"/>
        </w:rPr>
        <w:t>Bern, 5</w:t>
      </w:r>
      <w:r w:rsidR="00DC40A3">
        <w:rPr>
          <w:rFonts w:ascii="Helvetica" w:hAnsi="Helvetica"/>
          <w:sz w:val="20"/>
        </w:rPr>
        <w:t>. Februar 2015</w:t>
      </w:r>
    </w:p>
    <w:p w:rsidR="00DC40A3" w:rsidRDefault="00DC40A3" w:rsidP="00DC40A3">
      <w:pPr>
        <w:spacing w:line="288" w:lineRule="auto"/>
        <w:ind w:right="-992"/>
        <w:rPr>
          <w:rFonts w:ascii="Helvetica" w:hAnsi="Helvetica" w:cs="Helvetica"/>
          <w:b/>
          <w:bCs/>
        </w:rPr>
      </w:pPr>
    </w:p>
    <w:p w:rsidR="00DC40A3" w:rsidRPr="00621C2C" w:rsidRDefault="00DC40A3" w:rsidP="00DC40A3">
      <w:pPr>
        <w:spacing w:line="288" w:lineRule="auto"/>
        <w:ind w:right="-992"/>
        <w:rPr>
          <w:rFonts w:ascii="Helvetica" w:hAnsi="Helvetica" w:cs="Helvetica"/>
          <w:b/>
          <w:bCs/>
        </w:rPr>
      </w:pPr>
      <w:r>
        <w:rPr>
          <w:rFonts w:ascii="Helvetica" w:hAnsi="Helvetica" w:cs="Helvetica"/>
          <w:b/>
          <w:bCs/>
        </w:rPr>
        <w:t xml:space="preserve">Business-Intelligence-Spezialist IT-Logix ist Microsoft Goldpartner </w:t>
      </w:r>
    </w:p>
    <w:p w:rsidR="003B273A" w:rsidRDefault="00DC40A3" w:rsidP="003B273A">
      <w:pPr>
        <w:spacing w:line="288" w:lineRule="auto"/>
        <w:ind w:right="-142"/>
        <w:rPr>
          <w:rFonts w:ascii="Helvetica" w:hAnsi="Helvetica"/>
          <w:sz w:val="20"/>
        </w:rPr>
      </w:pPr>
      <w:r>
        <w:rPr>
          <w:rFonts w:ascii="Helvetica" w:hAnsi="Helvetica"/>
          <w:sz w:val="20"/>
        </w:rPr>
        <w:t>Das IT-Beratungsunternehmen baut Geschäft mit Microsoft Power BI Suite aus</w:t>
      </w:r>
    </w:p>
    <w:p w:rsidR="003B273A" w:rsidRDefault="003B273A" w:rsidP="003B273A">
      <w:pPr>
        <w:spacing w:line="288" w:lineRule="auto"/>
        <w:ind w:right="-142"/>
        <w:rPr>
          <w:rFonts w:ascii="Helvetica" w:hAnsi="Helvetica"/>
          <w:sz w:val="20"/>
        </w:rPr>
      </w:pPr>
    </w:p>
    <w:p w:rsidR="00DC40A3" w:rsidRPr="003B273A" w:rsidRDefault="00DC40A3" w:rsidP="003B273A">
      <w:pPr>
        <w:spacing w:line="288" w:lineRule="auto"/>
        <w:ind w:right="-142"/>
        <w:rPr>
          <w:rFonts w:ascii="Helvetica" w:hAnsi="Helvetica"/>
          <w:sz w:val="20"/>
        </w:rPr>
      </w:pPr>
      <w:r>
        <w:rPr>
          <w:rFonts w:ascii="Helvetica" w:hAnsi="Helvetica"/>
          <w:b/>
          <w:sz w:val="20"/>
        </w:rPr>
        <w:t xml:space="preserve">Das auf Business Intelligence (BI), Data Warehousing und Big Data </w:t>
      </w:r>
      <w:bookmarkStart w:id="0" w:name="_GoBack"/>
      <w:bookmarkEnd w:id="0"/>
      <w:r>
        <w:rPr>
          <w:rFonts w:ascii="Helvetica" w:hAnsi="Helvetica"/>
          <w:b/>
          <w:sz w:val="20"/>
        </w:rPr>
        <w:t xml:space="preserve">spezialisierte IT-Beratungshaus IT-Logix hat als Microsoft-Partner den Gold-Status mit Spezialisierung BI erreicht. Dazu hat das Unternehmen sein darauf spezialisiertes Team von fünf auf insgesamt neun Beratende mit dedizierten Microsoft-Kompetenzen aufgestockt. Zur Erlangung des Gold-Levels musste IT-Logix neben den entsprechenden Zertifizierungen die nötigen Projektreferenzen erbringen und eine durch Microsoft bei IT-Logix-Kunden durchgeführte Prüfung auf Kundenzufriedenheit erfolgreich bestehen. „Wir sehen bei Microsoft-BI ein schönes Wachstum und grosses Potenzial“, kommentiert Samuel Rentsch, CEO und Partner von IT-Logix, sein Commitment zu Microsoft. </w:t>
      </w:r>
      <w:r w:rsidRPr="009D64A7">
        <w:rPr>
          <w:rFonts w:ascii="Helvetica" w:hAnsi="Helvetica"/>
          <w:b/>
          <w:sz w:val="20"/>
        </w:rPr>
        <w:t xml:space="preserve">„IT-Logix ist mit seiner BI-Spezialisierung einer </w:t>
      </w:r>
      <w:r>
        <w:rPr>
          <w:rFonts w:ascii="Helvetica" w:hAnsi="Helvetica"/>
          <w:b/>
          <w:sz w:val="20"/>
        </w:rPr>
        <w:t>unserer</w:t>
      </w:r>
      <w:r w:rsidRPr="009D64A7">
        <w:rPr>
          <w:rFonts w:ascii="Helvetica" w:hAnsi="Helvetica"/>
          <w:b/>
          <w:sz w:val="20"/>
        </w:rPr>
        <w:t xml:space="preserve"> zehn Schweizer Application Platform Partner und für Microsoft unter anderem deshalb wichtig, weil </w:t>
      </w:r>
      <w:r>
        <w:rPr>
          <w:rFonts w:ascii="Helvetica" w:hAnsi="Helvetica"/>
          <w:b/>
          <w:sz w:val="20"/>
        </w:rPr>
        <w:t>IT-Logix</w:t>
      </w:r>
      <w:r w:rsidRPr="009D64A7">
        <w:rPr>
          <w:rFonts w:ascii="Helvetica" w:hAnsi="Helvetica"/>
          <w:b/>
          <w:sz w:val="20"/>
        </w:rPr>
        <w:t xml:space="preserve"> über Integrationswissen bei SAP-Umgebungen verfügt“, sagt Roland Zigerli, Partner Sales Executive bei Microsoft Schweiz. „Darüber hinaus </w:t>
      </w:r>
      <w:r>
        <w:rPr>
          <w:rFonts w:ascii="Helvetica" w:hAnsi="Helvetica"/>
          <w:b/>
          <w:sz w:val="20"/>
        </w:rPr>
        <w:t>hat</w:t>
      </w:r>
      <w:r w:rsidRPr="009D64A7">
        <w:rPr>
          <w:rFonts w:ascii="Helvetica" w:hAnsi="Helvetica"/>
          <w:b/>
          <w:sz w:val="20"/>
        </w:rPr>
        <w:t xml:space="preserve"> IT-Logix gute Kontakte zu Entscheidungsträger</w:t>
      </w:r>
      <w:r>
        <w:rPr>
          <w:rFonts w:ascii="Helvetica" w:hAnsi="Helvetica"/>
          <w:b/>
          <w:sz w:val="20"/>
        </w:rPr>
        <w:t>n</w:t>
      </w:r>
      <w:r w:rsidRPr="009D64A7">
        <w:rPr>
          <w:rFonts w:ascii="Helvetica" w:hAnsi="Helvetica"/>
          <w:b/>
          <w:sz w:val="20"/>
        </w:rPr>
        <w:t xml:space="preserve"> aus dem Business </w:t>
      </w:r>
      <w:r>
        <w:rPr>
          <w:rFonts w:ascii="Helvetica" w:hAnsi="Helvetica"/>
          <w:b/>
          <w:sz w:val="20"/>
        </w:rPr>
        <w:t xml:space="preserve">und bringt </w:t>
      </w:r>
      <w:r w:rsidRPr="00FF5D80">
        <w:rPr>
          <w:rFonts w:ascii="Helvetica" w:hAnsi="Helvetica"/>
          <w:b/>
          <w:sz w:val="20"/>
        </w:rPr>
        <w:t>das notwendige betriebswirtschaftliche Verständnis</w:t>
      </w:r>
      <w:r>
        <w:rPr>
          <w:rFonts w:ascii="Helvetica" w:hAnsi="Helvetica"/>
          <w:b/>
          <w:sz w:val="20"/>
        </w:rPr>
        <w:t xml:space="preserve"> mit</w:t>
      </w:r>
      <w:r w:rsidRPr="00FF5D80">
        <w:rPr>
          <w:rFonts w:ascii="Helvetica" w:hAnsi="Helvetica"/>
          <w:b/>
          <w:sz w:val="20"/>
        </w:rPr>
        <w:t xml:space="preserve">, um Geschäftsstrategien </w:t>
      </w:r>
      <w:r>
        <w:rPr>
          <w:rFonts w:ascii="Helvetica" w:hAnsi="Helvetica"/>
          <w:b/>
          <w:sz w:val="20"/>
        </w:rPr>
        <w:t xml:space="preserve">zu unterstützen </w:t>
      </w:r>
      <w:r w:rsidRPr="00FF5D80">
        <w:rPr>
          <w:rFonts w:ascii="Helvetica" w:hAnsi="Helvetica"/>
          <w:b/>
          <w:sz w:val="20"/>
        </w:rPr>
        <w:t xml:space="preserve">und Anforderungen der Fachabteilungen </w:t>
      </w:r>
      <w:r>
        <w:rPr>
          <w:rFonts w:ascii="Helvetica" w:hAnsi="Helvetica"/>
          <w:b/>
          <w:sz w:val="20"/>
        </w:rPr>
        <w:t>zu erfüllen</w:t>
      </w:r>
      <w:r w:rsidRPr="009D64A7">
        <w:rPr>
          <w:rFonts w:ascii="Helvetica" w:hAnsi="Helvetica"/>
          <w:b/>
          <w:sz w:val="20"/>
        </w:rPr>
        <w:t>“, fasst Zigerli die Bedeutung des Unternehmens für den Hersteller zusammen.</w:t>
      </w:r>
    </w:p>
    <w:p w:rsidR="00DC40A3" w:rsidRDefault="00DC40A3" w:rsidP="00DC40A3">
      <w:pPr>
        <w:spacing w:line="288" w:lineRule="auto"/>
        <w:ind w:right="-142"/>
        <w:rPr>
          <w:rFonts w:ascii="Helvetica" w:hAnsi="Helvetica"/>
          <w:b/>
          <w:sz w:val="20"/>
        </w:rPr>
      </w:pPr>
    </w:p>
    <w:p w:rsidR="00DC40A3" w:rsidRPr="00A651E4" w:rsidRDefault="00DC40A3" w:rsidP="00DC40A3">
      <w:pPr>
        <w:spacing w:line="288" w:lineRule="auto"/>
        <w:ind w:right="-142"/>
        <w:rPr>
          <w:rFonts w:ascii="Helvetica" w:hAnsi="Helvetica"/>
          <w:sz w:val="20"/>
        </w:rPr>
      </w:pPr>
      <w:r w:rsidRPr="009D64A7">
        <w:rPr>
          <w:rFonts w:ascii="Helvetica" w:hAnsi="Helvetica"/>
          <w:sz w:val="20"/>
        </w:rPr>
        <w:t xml:space="preserve">Mit der Erweiterung der Microsoft-Expertise erschliesst sich Rentsch im Geschäftsfeld Technologie-Beratung neben dem angestammten SAP-Geschäft (HANA </w:t>
      </w:r>
      <w:r>
        <w:rPr>
          <w:rFonts w:ascii="Helvetica" w:hAnsi="Helvetica"/>
          <w:sz w:val="20"/>
        </w:rPr>
        <w:t>und Business Objects</w:t>
      </w:r>
      <w:proofErr w:type="gramStart"/>
      <w:r>
        <w:rPr>
          <w:rFonts w:ascii="Helvetica" w:hAnsi="Helvetica"/>
          <w:sz w:val="20"/>
        </w:rPr>
        <w:t>) ein</w:t>
      </w:r>
      <w:proofErr w:type="gramEnd"/>
      <w:r>
        <w:rPr>
          <w:rFonts w:ascii="Helvetica" w:hAnsi="Helvetica"/>
          <w:sz w:val="20"/>
        </w:rPr>
        <w:t xml:space="preserve"> neues, </w:t>
      </w:r>
      <w:r w:rsidRPr="009D64A7">
        <w:rPr>
          <w:rFonts w:ascii="Helvetica" w:hAnsi="Helvetica"/>
          <w:sz w:val="20"/>
        </w:rPr>
        <w:t xml:space="preserve">strategisches Geschäftsfeld. </w:t>
      </w:r>
      <w:r w:rsidRPr="00577B85">
        <w:rPr>
          <w:rFonts w:ascii="Helvetica" w:hAnsi="Helvetica"/>
          <w:sz w:val="20"/>
        </w:rPr>
        <w:t xml:space="preserve">„Microsoft geniesst in den meisten Schweizer Unternehmen eine grosse Verbreitung und investiert darüber hinaus massiv in Big Data“, sagt Rentsch. Dies </w:t>
      </w:r>
      <w:r>
        <w:rPr>
          <w:rFonts w:ascii="Helvetica" w:hAnsi="Helvetica"/>
          <w:sz w:val="20"/>
        </w:rPr>
        <w:t xml:space="preserve">mache die Microsoft Power BI Suite für IT-Logix besonders interessant und unterstütze die Philosophie des Unternehmens, als Technologiepartner führende Anbieter an Bord zu haben. „Die meisten Firmen setzen SQL Server ein, sind sich aber nicht bewusst, damit die wichtigsten BI-Instrumente bereits lizenziert zu haben“, führt er aus. Mit den zusätzlichen, auf Microsoft-BI-Wissen zertifizierten Beratern verfügt IT-Logix nun über die erforderlichen Microsoft Certified Solution Experts (MCSE) und Microsoft Certified Professionals (MCP) für die BI-Spezialisierung auf Stufe Goldpartner. </w:t>
      </w:r>
    </w:p>
    <w:tbl>
      <w:tblPr>
        <w:tblW w:w="8613" w:type="dxa"/>
        <w:tblLayout w:type="fixed"/>
        <w:tblLook w:val="04A0"/>
      </w:tblPr>
      <w:tblGrid>
        <w:gridCol w:w="1809"/>
        <w:gridCol w:w="6804"/>
      </w:tblGrid>
      <w:tr w:rsidR="00DC40A3" w:rsidRPr="005171F9">
        <w:trPr>
          <w:trHeight w:val="2127"/>
        </w:trPr>
        <w:tc>
          <w:tcPr>
            <w:tcW w:w="1809" w:type="dxa"/>
            <w:shd w:val="clear" w:color="auto" w:fill="auto"/>
          </w:tcPr>
          <w:p w:rsidR="00DC40A3" w:rsidRPr="005171F9" w:rsidRDefault="00DC40A3" w:rsidP="009E3DC4">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rPr>
            </w:pPr>
            <w:r>
              <w:rPr>
                <w:rFonts w:ascii="Arial" w:hAnsi="Arial" w:cs="Calibri"/>
                <w:noProof/>
                <w:sz w:val="16"/>
                <w:szCs w:val="26"/>
              </w:rPr>
              <w:drawing>
                <wp:inline distT="0" distB="0" distL="0" distR="0">
                  <wp:extent cx="945538" cy="1493097"/>
                  <wp:effectExtent l="25400" t="0" r="0" b="0"/>
                  <wp:docPr id="2" name="Bild 2" descr="::ITL BILDER:Samuel-Rentsch-6-mod-klein-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L BILDER:Samuel-Rentsch-6-mod-klein-2-(klein).jpg"/>
                          <pic:cNvPicPr>
                            <a:picLocks noChangeAspect="1" noChangeArrowheads="1"/>
                          </pic:cNvPicPr>
                        </pic:nvPicPr>
                        <pic:blipFill>
                          <a:blip r:embed="rId4"/>
                          <a:srcRect/>
                          <a:stretch>
                            <a:fillRect/>
                          </a:stretch>
                        </pic:blipFill>
                        <pic:spPr bwMode="auto">
                          <a:xfrm>
                            <a:off x="0" y="0"/>
                            <a:ext cx="945538" cy="1493097"/>
                          </a:xfrm>
                          <a:prstGeom prst="rect">
                            <a:avLst/>
                          </a:prstGeom>
                          <a:noFill/>
                          <a:ln w="9525">
                            <a:noFill/>
                            <a:miter lim="800000"/>
                            <a:headEnd/>
                            <a:tailEnd/>
                          </a:ln>
                        </pic:spPr>
                      </pic:pic>
                    </a:graphicData>
                  </a:graphic>
                </wp:inline>
              </w:drawing>
            </w:r>
          </w:p>
        </w:tc>
        <w:tc>
          <w:tcPr>
            <w:tcW w:w="6804" w:type="dxa"/>
            <w:shd w:val="clear" w:color="auto" w:fill="auto"/>
          </w:tcPr>
          <w:p w:rsidR="00DC40A3" w:rsidRPr="005171F9" w:rsidRDefault="00DC40A3" w:rsidP="009E3DC4">
            <w:pPr>
              <w:widowControl w:val="0"/>
              <w:autoSpaceDE w:val="0"/>
              <w:autoSpaceDN w:val="0"/>
              <w:adjustRightInd w:val="0"/>
              <w:spacing w:line="220" w:lineRule="atLeast"/>
              <w:ind w:left="34" w:right="742"/>
              <w:rPr>
                <w:rFonts w:ascii="Arial" w:hAnsi="Arial" w:cs="Calibri"/>
                <w:sz w:val="16"/>
                <w:szCs w:val="26"/>
                <w:lang w:val="de-CH"/>
              </w:rPr>
            </w:pPr>
          </w:p>
          <w:p w:rsidR="00DC40A3" w:rsidRPr="005171F9" w:rsidRDefault="00DC40A3" w:rsidP="009E3DC4">
            <w:pPr>
              <w:widowControl w:val="0"/>
              <w:autoSpaceDE w:val="0"/>
              <w:autoSpaceDN w:val="0"/>
              <w:adjustRightInd w:val="0"/>
              <w:spacing w:line="220" w:lineRule="atLeast"/>
              <w:ind w:left="34" w:right="742"/>
              <w:rPr>
                <w:rFonts w:ascii="Arial" w:hAnsi="Arial" w:cs="Calibri"/>
                <w:sz w:val="16"/>
                <w:szCs w:val="26"/>
                <w:lang w:val="de-CH"/>
              </w:rPr>
            </w:pPr>
          </w:p>
          <w:p w:rsidR="00DC40A3" w:rsidRPr="005171F9" w:rsidRDefault="00DC40A3" w:rsidP="009E3DC4">
            <w:pPr>
              <w:pStyle w:val="Titel"/>
              <w:rPr>
                <w:rFonts w:ascii="Arial" w:eastAsia="Cambria" w:hAnsi="Arial" w:cs="Calibri"/>
                <w:bCs w:val="0"/>
                <w:sz w:val="16"/>
                <w:szCs w:val="26"/>
              </w:rPr>
            </w:pPr>
          </w:p>
          <w:p w:rsidR="00DC40A3" w:rsidRDefault="00DC40A3" w:rsidP="009E3DC4">
            <w:pPr>
              <w:pStyle w:val="Titel"/>
              <w:rPr>
                <w:rFonts w:ascii="Arial" w:eastAsia="Cambria" w:hAnsi="Arial" w:cs="Calibri"/>
                <w:bCs w:val="0"/>
                <w:sz w:val="16"/>
                <w:szCs w:val="26"/>
              </w:rPr>
            </w:pPr>
          </w:p>
          <w:p w:rsidR="00DC40A3" w:rsidRDefault="00DC40A3" w:rsidP="009E3DC4">
            <w:pPr>
              <w:pStyle w:val="Titel"/>
              <w:rPr>
                <w:rFonts w:ascii="Arial" w:eastAsia="Cambria" w:hAnsi="Arial" w:cs="Calibri"/>
                <w:bCs w:val="0"/>
                <w:sz w:val="16"/>
                <w:szCs w:val="26"/>
              </w:rPr>
            </w:pPr>
          </w:p>
          <w:p w:rsidR="00DC40A3" w:rsidRDefault="00DC40A3" w:rsidP="009E3DC4">
            <w:pPr>
              <w:pStyle w:val="Titel"/>
              <w:rPr>
                <w:rFonts w:ascii="Arial" w:eastAsia="Cambria" w:hAnsi="Arial" w:cs="Calibri"/>
                <w:bCs w:val="0"/>
                <w:sz w:val="16"/>
                <w:szCs w:val="26"/>
              </w:rPr>
            </w:pPr>
          </w:p>
          <w:p w:rsidR="00DC40A3" w:rsidRPr="005171F9" w:rsidRDefault="00DC40A3" w:rsidP="009E3DC4">
            <w:pPr>
              <w:pStyle w:val="Titel"/>
              <w:rPr>
                <w:rFonts w:ascii="Arial" w:eastAsia="Cambria" w:hAnsi="Arial" w:cs="Calibri"/>
                <w:bCs w:val="0"/>
                <w:sz w:val="16"/>
                <w:szCs w:val="26"/>
              </w:rPr>
            </w:pPr>
          </w:p>
          <w:p w:rsidR="00DC40A3" w:rsidRPr="005171F9" w:rsidRDefault="00DC40A3" w:rsidP="009E3DC4">
            <w:pPr>
              <w:pStyle w:val="Titel"/>
              <w:rPr>
                <w:rFonts w:ascii="Arial" w:eastAsia="Cambria" w:hAnsi="Arial" w:cs="Calibri"/>
                <w:bCs w:val="0"/>
                <w:sz w:val="16"/>
                <w:szCs w:val="26"/>
              </w:rPr>
            </w:pPr>
          </w:p>
          <w:p w:rsidR="00DC40A3" w:rsidRPr="004F17D4" w:rsidRDefault="00DC40A3" w:rsidP="009E3DC4">
            <w:pPr>
              <w:pStyle w:val="Titel"/>
              <w:rPr>
                <w:rFonts w:ascii="Arial" w:eastAsia="Cambria" w:hAnsi="Arial" w:cs="Calibri"/>
                <w:bCs w:val="0"/>
                <w:sz w:val="16"/>
                <w:szCs w:val="26"/>
                <w:lang w:val="en-US"/>
              </w:rPr>
            </w:pPr>
            <w:r>
              <w:rPr>
                <w:rFonts w:ascii="Arial" w:eastAsia="Cambria" w:hAnsi="Arial" w:cs="Calibri"/>
                <w:bCs w:val="0"/>
                <w:sz w:val="16"/>
                <w:szCs w:val="26"/>
                <w:lang w:val="en-US"/>
              </w:rPr>
              <w:t>Samuel Rentsch, CEO und Partner, IT-Logix AG</w:t>
            </w:r>
          </w:p>
        </w:tc>
      </w:tr>
    </w:tbl>
    <w:p w:rsidR="00DC40A3" w:rsidRPr="00565580" w:rsidRDefault="00DC40A3" w:rsidP="00DC40A3">
      <w:pPr>
        <w:spacing w:line="288" w:lineRule="auto"/>
        <w:ind w:right="-142"/>
        <w:rPr>
          <w:rFonts w:ascii="Helvetica" w:hAnsi="Helvetica"/>
          <w:sz w:val="20"/>
        </w:rPr>
      </w:pPr>
    </w:p>
    <w:tbl>
      <w:tblPr>
        <w:tblW w:w="9709" w:type="dxa"/>
        <w:tblLayout w:type="fixed"/>
        <w:tblCellMar>
          <w:left w:w="70" w:type="dxa"/>
          <w:right w:w="70" w:type="dxa"/>
        </w:tblCellMar>
        <w:tblLook w:val="0000"/>
      </w:tblPr>
      <w:tblGrid>
        <w:gridCol w:w="5315"/>
        <w:gridCol w:w="4394"/>
      </w:tblGrid>
      <w:tr w:rsidR="00DC40A3" w:rsidRPr="008B2D7C">
        <w:trPr>
          <w:trHeight w:val="73"/>
        </w:trPr>
        <w:tc>
          <w:tcPr>
            <w:tcW w:w="5315" w:type="dxa"/>
          </w:tcPr>
          <w:p w:rsidR="00DC40A3" w:rsidRPr="00B111C4" w:rsidRDefault="00DC40A3" w:rsidP="009E3DC4">
            <w:pPr>
              <w:widowControl w:val="0"/>
              <w:adjustRightInd w:val="0"/>
              <w:spacing w:line="288" w:lineRule="auto"/>
              <w:rPr>
                <w:rFonts w:ascii="Helvetica" w:eastAsia="Times New Roman" w:hAnsi="Helvetica"/>
                <w:sz w:val="16"/>
              </w:rPr>
            </w:pPr>
            <w:r w:rsidRPr="00C4323A">
              <w:rPr>
                <w:rFonts w:ascii="Helvetica" w:eastAsia="Times New Roman" w:hAnsi="Helvetica"/>
                <w:sz w:val="16"/>
              </w:rPr>
              <w:br w:type="page"/>
            </w:r>
            <w:r w:rsidRPr="00B111C4">
              <w:rPr>
                <w:rFonts w:ascii="Helvetica" w:eastAsia="Times New Roman" w:hAnsi="Helvetica"/>
                <w:sz w:val="16"/>
              </w:rPr>
              <w:t>Weitere Informationen:</w:t>
            </w:r>
          </w:p>
          <w:p w:rsidR="00DC40A3" w:rsidRDefault="00DC40A3" w:rsidP="009E3DC4">
            <w:pPr>
              <w:widowControl w:val="0"/>
              <w:adjustRightInd w:val="0"/>
              <w:spacing w:line="288" w:lineRule="auto"/>
              <w:rPr>
                <w:rFonts w:ascii="Helvetica" w:eastAsia="Times New Roman" w:hAnsi="Helvetica"/>
                <w:sz w:val="16"/>
              </w:rPr>
            </w:pPr>
            <w:r>
              <w:rPr>
                <w:rFonts w:ascii="Helvetica" w:eastAsia="Times New Roman" w:hAnsi="Helvetica"/>
                <w:sz w:val="16"/>
              </w:rPr>
              <w:t>IT-Logix AG – Samuel Rentsch</w:t>
            </w:r>
          </w:p>
          <w:p w:rsidR="00DC40A3" w:rsidRDefault="00DC40A3" w:rsidP="009E3DC4">
            <w:pPr>
              <w:widowControl w:val="0"/>
              <w:adjustRightInd w:val="0"/>
              <w:spacing w:line="288" w:lineRule="auto"/>
              <w:rPr>
                <w:rFonts w:ascii="Helvetica" w:eastAsia="Times New Roman" w:hAnsi="Helvetica"/>
                <w:sz w:val="16"/>
              </w:rPr>
            </w:pPr>
            <w:r>
              <w:rPr>
                <w:rFonts w:ascii="Helvetica" w:eastAsia="Times New Roman" w:hAnsi="Helvetica"/>
                <w:sz w:val="16"/>
              </w:rPr>
              <w:t>Schwarzenburgstrasse 11 – 3007 Bern</w:t>
            </w:r>
          </w:p>
          <w:p w:rsidR="00DC40A3" w:rsidRDefault="00DC40A3" w:rsidP="009E3DC4">
            <w:pPr>
              <w:widowControl w:val="0"/>
              <w:adjustRightInd w:val="0"/>
              <w:spacing w:line="288" w:lineRule="auto"/>
              <w:rPr>
                <w:rFonts w:ascii="Helvetica" w:eastAsia="Times New Roman" w:hAnsi="Helvetica"/>
                <w:sz w:val="16"/>
              </w:rPr>
            </w:pPr>
            <w:r>
              <w:rPr>
                <w:rFonts w:ascii="Helvetica" w:eastAsia="Times New Roman" w:hAnsi="Helvetica"/>
                <w:sz w:val="16"/>
              </w:rPr>
              <w:t>Tel.: +41 848 848 058</w:t>
            </w:r>
          </w:p>
          <w:p w:rsidR="00DC40A3" w:rsidRPr="00ED28D0" w:rsidRDefault="007A6760" w:rsidP="009E3DC4">
            <w:pPr>
              <w:widowControl w:val="0"/>
              <w:adjustRightInd w:val="0"/>
              <w:spacing w:line="288" w:lineRule="auto"/>
              <w:rPr>
                <w:rFonts w:ascii="Helvetica" w:eastAsia="Times New Roman" w:hAnsi="Helvetica"/>
                <w:sz w:val="16"/>
              </w:rPr>
            </w:pPr>
            <w:hyperlink r:id="rId5" w:history="1">
              <w:r w:rsidR="00DC40A3" w:rsidRPr="00B111C4">
                <w:rPr>
                  <w:rFonts w:ascii="Helvetica" w:eastAsia="Times New Roman" w:hAnsi="Helvetica"/>
                  <w:sz w:val="16"/>
                </w:rPr>
                <w:t>contact@it-logix.ch</w:t>
              </w:r>
            </w:hyperlink>
            <w:r w:rsidR="00DC40A3">
              <w:rPr>
                <w:rFonts w:ascii="Helvetica" w:eastAsia="Times New Roman" w:hAnsi="Helvetica"/>
                <w:sz w:val="16"/>
              </w:rPr>
              <w:t xml:space="preserve"> – www.it-logix.ch</w:t>
            </w:r>
          </w:p>
        </w:tc>
        <w:tc>
          <w:tcPr>
            <w:tcW w:w="4394" w:type="dxa"/>
          </w:tcPr>
          <w:p w:rsidR="00DC40A3" w:rsidRPr="00E278EF" w:rsidRDefault="00DC40A3" w:rsidP="009E3DC4">
            <w:pPr>
              <w:widowControl w:val="0"/>
              <w:adjustRightInd w:val="0"/>
              <w:spacing w:line="288" w:lineRule="auto"/>
              <w:rPr>
                <w:rFonts w:ascii="Helvetica" w:eastAsia="Times New Roman" w:hAnsi="Helvetica"/>
                <w:b/>
                <w:sz w:val="16"/>
              </w:rPr>
            </w:pPr>
            <w:r w:rsidRPr="00E278EF">
              <w:rPr>
                <w:rFonts w:ascii="Helvetica" w:eastAsia="Times New Roman" w:hAnsi="Helvetica"/>
                <w:b/>
                <w:sz w:val="16"/>
              </w:rPr>
              <w:t>Presse- und Öffentlichkeitsarbeit:</w:t>
            </w:r>
          </w:p>
          <w:p w:rsidR="00DC40A3" w:rsidRPr="008253EF" w:rsidRDefault="00DC40A3" w:rsidP="009E3DC4">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DC40A3" w:rsidRPr="008253EF" w:rsidRDefault="00DC40A3" w:rsidP="009E3DC4">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DC40A3" w:rsidRPr="008253EF" w:rsidRDefault="00DC40A3" w:rsidP="009E3DC4">
            <w:pPr>
              <w:widowControl w:val="0"/>
              <w:adjustRightInd w:val="0"/>
              <w:spacing w:line="288" w:lineRule="auto"/>
              <w:rPr>
                <w:rFonts w:ascii="Helvetica" w:eastAsia="Times New Roman" w:hAnsi="Helvetica"/>
                <w:sz w:val="16"/>
              </w:rPr>
            </w:pPr>
            <w:r w:rsidRPr="008253EF">
              <w:rPr>
                <w:rFonts w:ascii="Helvetica" w:eastAsia="Times New Roman" w:hAnsi="Helvetica"/>
                <w:sz w:val="16"/>
              </w:rPr>
              <w:t xml:space="preserve">Tel. : +41 43 344 58 65 </w:t>
            </w:r>
            <w:r>
              <w:rPr>
                <w:rFonts w:ascii="Helvetica" w:eastAsia="Times New Roman" w:hAnsi="Helvetica"/>
                <w:sz w:val="16"/>
              </w:rPr>
              <w:t>– Mobil +41 78 660 66 57</w:t>
            </w:r>
          </w:p>
          <w:p w:rsidR="00DC40A3" w:rsidRPr="008B2D7C" w:rsidRDefault="007A6760" w:rsidP="009E3DC4">
            <w:pPr>
              <w:widowControl w:val="0"/>
              <w:adjustRightInd w:val="0"/>
              <w:spacing w:line="288" w:lineRule="auto"/>
              <w:rPr>
                <w:rFonts w:ascii="Helvetica" w:eastAsia="Times New Roman" w:hAnsi="Helvetica"/>
                <w:sz w:val="16"/>
              </w:rPr>
            </w:pPr>
            <w:hyperlink r:id="rId6" w:history="1">
              <w:r w:rsidR="00DC40A3" w:rsidRPr="00C4323A">
                <w:rPr>
                  <w:rFonts w:ascii="Helvetica" w:eastAsia="Times New Roman" w:hAnsi="Helvetica"/>
                  <w:sz w:val="16"/>
                </w:rPr>
                <w:t>mh@press-n-relations.ch</w:t>
              </w:r>
            </w:hyperlink>
            <w:r w:rsidR="00DC40A3">
              <w:rPr>
                <w:rFonts w:ascii="Helvetica" w:eastAsia="Times New Roman" w:hAnsi="Helvetica"/>
                <w:sz w:val="16"/>
              </w:rPr>
              <w:t xml:space="preserve"> </w:t>
            </w:r>
            <w:r w:rsidR="00DC40A3" w:rsidRPr="008253EF">
              <w:rPr>
                <w:rFonts w:ascii="Helvetica" w:eastAsia="Times New Roman" w:hAnsi="Helvetica"/>
                <w:sz w:val="16"/>
              </w:rPr>
              <w:t>– www.press-n-relations.ch</w:t>
            </w:r>
          </w:p>
        </w:tc>
      </w:tr>
    </w:tbl>
    <w:p w:rsidR="00DC40A3" w:rsidRDefault="00DC40A3" w:rsidP="00DC40A3">
      <w:pPr>
        <w:spacing w:line="100" w:lineRule="atLeast"/>
        <w:rPr>
          <w:rFonts w:ascii="Helvetica" w:eastAsia="Times New Roman" w:hAnsi="Helvetica"/>
          <w:b/>
          <w:sz w:val="18"/>
        </w:rPr>
      </w:pPr>
    </w:p>
    <w:p w:rsidR="00DC40A3" w:rsidRDefault="00DC40A3" w:rsidP="00DC40A3">
      <w:pPr>
        <w:spacing w:line="100" w:lineRule="atLeast"/>
        <w:rPr>
          <w:rFonts w:ascii="Helvetica" w:eastAsia="Times New Roman" w:hAnsi="Helvetica"/>
          <w:b/>
          <w:sz w:val="18"/>
        </w:rPr>
      </w:pPr>
      <w:r>
        <w:rPr>
          <w:rFonts w:ascii="Helvetica" w:eastAsia="Times New Roman" w:hAnsi="Helvetica"/>
          <w:b/>
          <w:sz w:val="18"/>
        </w:rPr>
        <w:t>Über IT-Logix</w:t>
      </w:r>
    </w:p>
    <w:p w:rsidR="00DC40A3" w:rsidRPr="00FE702C" w:rsidRDefault="00DC40A3" w:rsidP="00DC40A3">
      <w:pPr>
        <w:spacing w:line="100" w:lineRule="atLeast"/>
        <w:rPr>
          <w:rFonts w:ascii="Helvetica" w:eastAsia="Times New Roman" w:hAnsi="Helvetica"/>
          <w:sz w:val="18"/>
        </w:rPr>
      </w:pPr>
      <w:r w:rsidRPr="00FE702C">
        <w:rPr>
          <w:rFonts w:ascii="Helvetica" w:eastAsia="Times New Roman" w:hAnsi="Helvetica"/>
          <w:sz w:val="18"/>
        </w:rPr>
        <w:t>IT-Logix ist eines der führenden Schweizer IT-Beratungshäuser in den Bereichen Business Intelligence</w:t>
      </w:r>
      <w:r>
        <w:rPr>
          <w:rFonts w:ascii="Helvetica" w:eastAsia="Times New Roman" w:hAnsi="Helvetica"/>
          <w:sz w:val="18"/>
        </w:rPr>
        <w:t xml:space="preserve">, </w:t>
      </w:r>
      <w:r w:rsidRPr="00FE702C">
        <w:rPr>
          <w:rFonts w:ascii="Helvetica" w:eastAsia="Times New Roman" w:hAnsi="Helvetica"/>
          <w:sz w:val="18"/>
        </w:rPr>
        <w:t>Data Warehousing</w:t>
      </w:r>
      <w:r>
        <w:rPr>
          <w:rFonts w:ascii="Helvetica" w:eastAsia="Times New Roman" w:hAnsi="Helvetica"/>
          <w:sz w:val="18"/>
        </w:rPr>
        <w:t xml:space="preserve"> und Big Data. Das Unternehmen</w:t>
      </w:r>
      <w:r w:rsidRPr="00FE702C">
        <w:rPr>
          <w:rFonts w:ascii="Helvetica" w:eastAsia="Times New Roman" w:hAnsi="Helvetica"/>
          <w:sz w:val="18"/>
        </w:rPr>
        <w:t xml:space="preserve"> </w:t>
      </w:r>
      <w:r>
        <w:rPr>
          <w:rFonts w:ascii="Helvetica" w:eastAsia="Times New Roman" w:hAnsi="Helvetica"/>
          <w:sz w:val="18"/>
        </w:rPr>
        <w:t>orientiert sich</w:t>
      </w:r>
      <w:r w:rsidRPr="00FE702C">
        <w:rPr>
          <w:rFonts w:ascii="Helvetica" w:eastAsia="Times New Roman" w:hAnsi="Helvetica"/>
          <w:sz w:val="18"/>
        </w:rPr>
        <w:t xml:space="preserve"> konsequent an fachlich anerkannter Methodik und praxisbewä</w:t>
      </w:r>
      <w:r>
        <w:rPr>
          <w:rFonts w:ascii="Helvetica" w:eastAsia="Times New Roman" w:hAnsi="Helvetica"/>
          <w:sz w:val="18"/>
        </w:rPr>
        <w:t xml:space="preserve">hrten Frameworks und bedient sich für </w:t>
      </w:r>
      <w:r w:rsidRPr="00FE702C">
        <w:rPr>
          <w:rFonts w:ascii="Helvetica" w:eastAsia="Times New Roman" w:hAnsi="Helvetica"/>
          <w:sz w:val="18"/>
        </w:rPr>
        <w:t>die technologische Umsetzung marktfü</w:t>
      </w:r>
      <w:r>
        <w:rPr>
          <w:rFonts w:ascii="Helvetica" w:eastAsia="Times New Roman" w:hAnsi="Helvetica"/>
          <w:sz w:val="18"/>
        </w:rPr>
        <w:t>hrender Werkzeuge. www.it-logix.ch</w:t>
      </w:r>
    </w:p>
    <w:p w:rsidR="00DC40A3" w:rsidRPr="00FE702C" w:rsidRDefault="00DC40A3" w:rsidP="00DC40A3">
      <w:pPr>
        <w:spacing w:line="100" w:lineRule="atLeast"/>
        <w:rPr>
          <w:rFonts w:ascii="Helvetica" w:eastAsia="Times New Roman" w:hAnsi="Helvetica"/>
          <w:sz w:val="18"/>
        </w:rPr>
      </w:pPr>
    </w:p>
    <w:p w:rsidR="009E3DC4" w:rsidRPr="00FE702C" w:rsidRDefault="009E3DC4" w:rsidP="00577B85">
      <w:pPr>
        <w:spacing w:line="100" w:lineRule="atLeast"/>
        <w:rPr>
          <w:rFonts w:ascii="Helvetica" w:eastAsia="Times New Roman" w:hAnsi="Helvetica"/>
          <w:sz w:val="18"/>
        </w:rPr>
      </w:pPr>
    </w:p>
    <w:sectPr w:rsidR="009E3DC4" w:rsidRPr="00FE702C" w:rsidSect="00461272">
      <w:headerReference w:type="default" r:id="rId7"/>
      <w:pgSz w:w="11899" w:h="16838"/>
      <w:pgMar w:top="1418" w:right="3252" w:bottom="1843"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211" w:rsidRDefault="00632211">
    <w:pPr>
      <w:pStyle w:val="Kopfzeile"/>
      <w:tabs>
        <w:tab w:val="clear" w:pos="9072"/>
        <w:tab w:val="right" w:pos="9639"/>
      </w:tabs>
    </w:pPr>
    <w:r>
      <w:rPr>
        <w:noProof/>
      </w:rPr>
      <w:drawing>
        <wp:anchor distT="0" distB="0" distL="114300" distR="114300" simplePos="0" relativeHeight="251658240" behindDoc="0" locked="0" layoutInCell="1" allowOverlap="1">
          <wp:simplePos x="0" y="0"/>
          <wp:positionH relativeFrom="column">
            <wp:posOffset>3657600</wp:posOffset>
          </wp:positionH>
          <wp:positionV relativeFrom="paragraph">
            <wp:posOffset>-13970</wp:posOffset>
          </wp:positionV>
          <wp:extent cx="2057400" cy="676910"/>
          <wp:effectExtent l="0" t="0" r="0" b="0"/>
          <wp:wrapNone/>
          <wp:docPr id="1" name="" descr="::ITL BILDER:IT_Logix_Logo_panton_7B8A5C.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L BILDER:IT_Logix_Logo_panton_7B8A5C.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2057400" cy="676910"/>
                  </a:xfrm>
                  <a:prstGeom prst="rect">
                    <a:avLst/>
                  </a:prstGeom>
                  <a:noFill/>
                  <a:ln w="9525">
                    <a:noFill/>
                    <a:miter lim="800000"/>
                    <a:headEnd/>
                    <a:tailEnd/>
                  </a:ln>
                </pic:spPr>
              </pic:pic>
            </a:graphicData>
          </a:graphic>
        </wp:anchor>
      </w:drawing>
    </w:r>
    <w:r>
      <w:tab/>
      <w:t xml:space="preserve">                                                                                           </w:t>
    </w:r>
  </w:p>
  <w:p w:rsidR="00632211" w:rsidRDefault="00632211" w:rsidP="009E3DC4">
    <w:pPr>
      <w:pStyle w:val="Kopfzeile"/>
      <w:tabs>
        <w:tab w:val="clear" w:pos="9072"/>
        <w:tab w:val="left" w:pos="2000"/>
        <w:tab w:val="right" w:pos="9639"/>
      </w:tabs>
      <w:rPr>
        <w:noProof/>
      </w:rPr>
    </w:pPr>
    <w:r>
      <w:rPr>
        <w:noProof/>
      </w:rPr>
      <w:tab/>
    </w:r>
    <w:r>
      <w:rPr>
        <w:noProof/>
      </w:rPr>
      <w:tab/>
    </w:r>
  </w:p>
  <w:p w:rsidR="00632211" w:rsidRDefault="00632211">
    <w:pPr>
      <w:pStyle w:val="Kopfzeile"/>
      <w:tabs>
        <w:tab w:val="clear" w:pos="9072"/>
        <w:tab w:val="right" w:pos="9639"/>
      </w:tabs>
    </w:pPr>
    <w:r>
      <w:rPr>
        <w:noProof/>
      </w:rPr>
      <w:tab/>
      <w:t xml:space="preserve">  </w:t>
    </w:r>
  </w:p>
  <w:p w:rsidR="00632211" w:rsidRDefault="00632211">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w:hdrShapeDefaults>
  <w:compat>
    <w:doNotAutofitConstrainedTables/>
    <w:splitPgBreakAndParaMark/>
    <w:doNotVertAlignCellWithSp/>
    <w:doNotBreakConstrainedForcedTable/>
    <w:useAnsiKerningPairs/>
    <w:cachedColBalance/>
  </w:compat>
  <w:rsids>
    <w:rsidRoot w:val="0000628C"/>
    <w:rsid w:val="000057E1"/>
    <w:rsid w:val="0000628C"/>
    <w:rsid w:val="00036D9F"/>
    <w:rsid w:val="0011480E"/>
    <w:rsid w:val="001601AC"/>
    <w:rsid w:val="00361118"/>
    <w:rsid w:val="003B273A"/>
    <w:rsid w:val="003D3E33"/>
    <w:rsid w:val="00461272"/>
    <w:rsid w:val="00577B85"/>
    <w:rsid w:val="005E2E32"/>
    <w:rsid w:val="00632211"/>
    <w:rsid w:val="007806BF"/>
    <w:rsid w:val="007A6760"/>
    <w:rsid w:val="007C211C"/>
    <w:rsid w:val="008D796D"/>
    <w:rsid w:val="009B4CE9"/>
    <w:rsid w:val="009C602F"/>
    <w:rsid w:val="009D64A7"/>
    <w:rsid w:val="009E3DC4"/>
    <w:rsid w:val="00A20617"/>
    <w:rsid w:val="00A273A0"/>
    <w:rsid w:val="00A56D77"/>
    <w:rsid w:val="00AE3D4A"/>
    <w:rsid w:val="00B111C4"/>
    <w:rsid w:val="00B17F7E"/>
    <w:rsid w:val="00C901BF"/>
    <w:rsid w:val="00DC40A3"/>
    <w:rsid w:val="00FA3860"/>
    <w:rsid w:val="00FE1125"/>
    <w:rsid w:val="00FE702C"/>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0628C"/>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00628C"/>
    <w:pPr>
      <w:tabs>
        <w:tab w:val="center" w:pos="4536"/>
        <w:tab w:val="right" w:pos="9072"/>
      </w:tabs>
    </w:pPr>
  </w:style>
  <w:style w:type="character" w:customStyle="1" w:styleId="KopfzeileZeichen">
    <w:name w:val="Kopfzeile Zeichen"/>
    <w:basedOn w:val="Absatzstandardschriftart"/>
    <w:link w:val="Kopfzeile"/>
    <w:rsid w:val="0000628C"/>
    <w:rPr>
      <w:rFonts w:ascii="Times" w:eastAsia="Times" w:hAnsi="Times" w:cs="Times New Roman"/>
      <w:lang w:eastAsia="de-DE"/>
    </w:rPr>
  </w:style>
  <w:style w:type="paragraph" w:styleId="Titel">
    <w:name w:val="Title"/>
    <w:basedOn w:val="Standard"/>
    <w:link w:val="TitelZeichen"/>
    <w:qFormat/>
    <w:rsid w:val="0000628C"/>
    <w:pPr>
      <w:spacing w:after="60"/>
      <w:outlineLvl w:val="0"/>
    </w:pPr>
    <w:rPr>
      <w:rFonts w:ascii="Verdana" w:eastAsia="Times New Roman" w:hAnsi="Verdana" w:cs="Arial"/>
      <w:b/>
      <w:bCs/>
      <w:szCs w:val="32"/>
      <w:lang w:val="de-CH"/>
    </w:rPr>
  </w:style>
  <w:style w:type="character" w:customStyle="1" w:styleId="TitelZeichen">
    <w:name w:val="Titel Zeichen"/>
    <w:basedOn w:val="Absatzstandardschriftart"/>
    <w:link w:val="Titel"/>
    <w:rsid w:val="0000628C"/>
    <w:rPr>
      <w:rFonts w:ascii="Verdana" w:eastAsia="Times New Roman" w:hAnsi="Verdana" w:cs="Arial"/>
      <w:b/>
      <w:bCs/>
      <w:szCs w:val="32"/>
      <w:lang w:val="de-CH" w:eastAsia="de-DE"/>
    </w:rPr>
  </w:style>
  <w:style w:type="paragraph" w:styleId="Fuzeile">
    <w:name w:val="footer"/>
    <w:basedOn w:val="Standard"/>
    <w:link w:val="FuzeileZeichen"/>
    <w:uiPriority w:val="99"/>
    <w:semiHidden/>
    <w:unhideWhenUsed/>
    <w:rsid w:val="00B17F7E"/>
    <w:pPr>
      <w:tabs>
        <w:tab w:val="center" w:pos="4536"/>
        <w:tab w:val="right" w:pos="9072"/>
      </w:tabs>
    </w:pPr>
  </w:style>
  <w:style w:type="character" w:customStyle="1" w:styleId="FuzeileZeichen">
    <w:name w:val="Fußzeile Zeichen"/>
    <w:basedOn w:val="Absatzstandardschriftart"/>
    <w:link w:val="Fuzeile"/>
    <w:uiPriority w:val="99"/>
    <w:semiHidden/>
    <w:rsid w:val="00B17F7E"/>
    <w:rPr>
      <w:rFonts w:ascii="Times" w:eastAsia="Times" w:hAnsi="Times" w:cs="Times New Roman"/>
      <w:lang w:eastAsia="de-DE"/>
    </w:rPr>
  </w:style>
  <w:style w:type="character" w:styleId="Link">
    <w:name w:val="Hyperlink"/>
    <w:basedOn w:val="Absatzstandardschriftart"/>
    <w:uiPriority w:val="99"/>
    <w:semiHidden/>
    <w:unhideWhenUsed/>
    <w:rsid w:val="00B111C4"/>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contact@it-logix.ch"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2738</Characters>
  <Application>Microsoft Macintosh Word</Application>
  <DocSecurity>0</DocSecurity>
  <Lines>22</Lines>
  <Paragraphs>5</Paragraphs>
  <ScaleCrop>false</ScaleCrop>
  <Company>Press'n'Relations </Company>
  <LinksUpToDate>false</LinksUpToDate>
  <CharactersWithSpaces>3362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2015-02-02T08:11:00Z</dcterms:created>
  <dcterms:modified xsi:type="dcterms:W3CDTF">2015-02-04T12:41:00Z</dcterms:modified>
</cp:coreProperties>
</file>