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518" w:rsidRPr="00B319D7" w:rsidRDefault="00E90518" w:rsidP="00E90518">
      <w:pPr>
        <w:spacing w:line="288" w:lineRule="auto"/>
        <w:rPr>
          <w:rFonts w:ascii="Helvetica" w:hAnsi="Helvetica"/>
          <w:b/>
          <w:color w:val="808080" w:themeColor="background1" w:themeShade="80"/>
          <w:sz w:val="20"/>
          <w:lang w:val="de-CH"/>
        </w:rPr>
      </w:pPr>
      <w:r>
        <w:rPr>
          <w:rFonts w:ascii="Helvetica" w:hAnsi="Helvetica"/>
          <w:b/>
          <w:color w:val="808080" w:themeColor="background1" w:themeShade="80"/>
          <w:sz w:val="20"/>
        </w:rPr>
        <w:t>Medienmitteilung</w:t>
      </w:r>
    </w:p>
    <w:p w:rsidR="00E90518" w:rsidRPr="005A507D" w:rsidRDefault="00E90518" w:rsidP="00E90518">
      <w:pPr>
        <w:spacing w:line="288" w:lineRule="auto"/>
        <w:ind w:right="-99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Bern, </w:t>
      </w:r>
      <w:r w:rsidR="00660303">
        <w:rPr>
          <w:rFonts w:ascii="Helvetica" w:hAnsi="Helvetica"/>
          <w:sz w:val="20"/>
        </w:rPr>
        <w:t>11.</w:t>
      </w:r>
      <w:r>
        <w:rPr>
          <w:rFonts w:ascii="Helvetica" w:hAnsi="Helvetica"/>
          <w:sz w:val="20"/>
        </w:rPr>
        <w:t xml:space="preserve"> Februar 2016</w:t>
      </w:r>
    </w:p>
    <w:p w:rsidR="00E90518" w:rsidRDefault="00E90518" w:rsidP="00E90518">
      <w:pPr>
        <w:spacing w:line="288" w:lineRule="auto"/>
        <w:ind w:right="-992"/>
        <w:rPr>
          <w:rFonts w:ascii="Helvetica" w:hAnsi="Helvetica" w:cs="Helvetica"/>
          <w:b/>
          <w:bCs/>
        </w:rPr>
      </w:pPr>
    </w:p>
    <w:p w:rsidR="00E90518" w:rsidRPr="00CE3EFD" w:rsidRDefault="00E90518" w:rsidP="00E90518">
      <w:pPr>
        <w:spacing w:line="288" w:lineRule="auto"/>
        <w:ind w:right="-1702"/>
        <w:rPr>
          <w:rFonts w:ascii="Helvetica" w:hAnsi="Helvetica" w:cs="Helvetica"/>
          <w:b/>
          <w:bCs/>
          <w:lang w:val="de-CH"/>
        </w:rPr>
      </w:pPr>
      <w:r>
        <w:rPr>
          <w:rFonts w:ascii="Helvetica" w:hAnsi="Helvetica" w:cs="Helvetica"/>
          <w:b/>
          <w:bCs/>
          <w:lang w:val="de-CH"/>
        </w:rPr>
        <w:t>IT-Logix partnert für Data-Warehouse-Automatisierung mit Wherescape</w:t>
      </w:r>
    </w:p>
    <w:p w:rsidR="00E90518" w:rsidRDefault="00E90518" w:rsidP="00E90518">
      <w:pPr>
        <w:spacing w:line="288" w:lineRule="auto"/>
        <w:ind w:right="-568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Das IT-Beratungshaus ist neu Value Added Reseller des Pioniers für Data-Warehouse-Automatisierung</w:t>
      </w:r>
    </w:p>
    <w:p w:rsidR="00E90518" w:rsidRDefault="00E90518" w:rsidP="00E90518">
      <w:pPr>
        <w:spacing w:line="288" w:lineRule="auto"/>
        <w:ind w:right="-142"/>
        <w:rPr>
          <w:rFonts w:ascii="Helvetica" w:hAnsi="Helvetica"/>
          <w:sz w:val="20"/>
        </w:rPr>
      </w:pPr>
    </w:p>
    <w:p w:rsidR="00E90518" w:rsidRDefault="00E90518" w:rsidP="00E90518">
      <w:pPr>
        <w:spacing w:line="288" w:lineRule="auto"/>
        <w:ind w:right="-142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Das auf Business Intelligence (BI), Data Warehousing (DWH) und Big Data spezialisierte IT-Beratungshaus IT-Logix ist neu Value Added Reseller von Wherescape. Das Unternehmen ist Hersteller der gleichnamigen Entwicklungsumgebung und Pionier in Sachen Data-Warehouse-Automatisierung. „Schnelle Umsetzbarkeit wird bei BI-Vorhaben immer wichtiger“, sagt Samuel Rentsch, CEO von IT-Logix. „</w:t>
      </w:r>
      <w:r w:rsidR="00D33325">
        <w:rPr>
          <w:rFonts w:ascii="Helvetica" w:hAnsi="Helvetica"/>
          <w:b/>
          <w:sz w:val="20"/>
        </w:rPr>
        <w:t>Deshalb</w:t>
      </w:r>
      <w:r>
        <w:rPr>
          <w:rFonts w:ascii="Helvetica" w:hAnsi="Helvetica"/>
          <w:b/>
          <w:sz w:val="20"/>
        </w:rPr>
        <w:t xml:space="preserve"> tragen </w:t>
      </w:r>
      <w:r w:rsidR="00D33325">
        <w:rPr>
          <w:rFonts w:ascii="Helvetica" w:hAnsi="Helvetica"/>
          <w:b/>
          <w:sz w:val="20"/>
        </w:rPr>
        <w:t>wir</w:t>
      </w:r>
      <w:r>
        <w:rPr>
          <w:rFonts w:ascii="Helvetica" w:hAnsi="Helvetica"/>
          <w:b/>
          <w:sz w:val="20"/>
        </w:rPr>
        <w:t xml:space="preserve"> als einer der ersten Schweizer Wherescape-Partner dem Bedürfnis nach mehr Agilität in der Praxis Rechnung.“ Darüber hinaus </w:t>
      </w:r>
      <w:r w:rsidR="00D33325">
        <w:rPr>
          <w:rFonts w:ascii="Helvetica" w:hAnsi="Helvetica"/>
          <w:b/>
          <w:sz w:val="20"/>
        </w:rPr>
        <w:t>baut</w:t>
      </w:r>
      <w:r>
        <w:rPr>
          <w:rFonts w:ascii="Helvetica" w:hAnsi="Helvetica"/>
          <w:b/>
          <w:sz w:val="20"/>
        </w:rPr>
        <w:t xml:space="preserve"> IT-Logix den Tätigkeitsbereich über seine BI-Kernkompetenzen für SAP und Microsoft weiter aus. Um dem Trend nach schnell nutzbaren BI-Lösungen fachlich fundiert zu entsprechen, hat IT-Logix ein Team von Berater auf Wherescape-Produkte schulen lassen. Diese haben in d</w:t>
      </w:r>
      <w:r w:rsidR="00E534E7">
        <w:rPr>
          <w:rFonts w:ascii="Helvetica" w:hAnsi="Helvetica"/>
          <w:b/>
          <w:sz w:val="20"/>
        </w:rPr>
        <w:t>er Praxis bere</w:t>
      </w:r>
      <w:r>
        <w:rPr>
          <w:rFonts w:ascii="Helvetica" w:hAnsi="Helvetica"/>
          <w:b/>
          <w:sz w:val="20"/>
        </w:rPr>
        <w:t xml:space="preserve">its in mehreren Projekten ihr Know-how unter Beweis stellen und dank des Einsatzes der Automatisierungs-Engine von Wherescape BI-Lösungen massiv schneller umsetzen können. </w:t>
      </w:r>
    </w:p>
    <w:p w:rsidR="00E90518" w:rsidRDefault="00E90518" w:rsidP="00E90518">
      <w:pPr>
        <w:spacing w:line="288" w:lineRule="auto"/>
        <w:ind w:right="-142"/>
        <w:rPr>
          <w:rFonts w:ascii="Helvetica" w:hAnsi="Helvetica"/>
          <w:b/>
          <w:sz w:val="20"/>
        </w:rPr>
      </w:pPr>
    </w:p>
    <w:p w:rsidR="00E90518" w:rsidRPr="00672536" w:rsidRDefault="00E90518" w:rsidP="00E90518">
      <w:pPr>
        <w:spacing w:line="288" w:lineRule="auto"/>
        <w:ind w:right="-142"/>
        <w:rPr>
          <w:rFonts w:ascii="Helvetica" w:hAnsi="Helvetica"/>
          <w:sz w:val="20"/>
        </w:rPr>
      </w:pPr>
      <w:r w:rsidRPr="00672536">
        <w:rPr>
          <w:rFonts w:ascii="Helvetica" w:hAnsi="Helvetica"/>
          <w:sz w:val="20"/>
        </w:rPr>
        <w:t>Um Agile-BI im Unter</w:t>
      </w:r>
      <w:r>
        <w:rPr>
          <w:rFonts w:ascii="Helvetica" w:hAnsi="Helvetica"/>
          <w:sz w:val="20"/>
        </w:rPr>
        <w:t>nehmen auch tatsächlich zu leben</w:t>
      </w:r>
      <w:r w:rsidRPr="00672536">
        <w:rPr>
          <w:rFonts w:ascii="Helvetica" w:hAnsi="Helvetica"/>
          <w:sz w:val="20"/>
        </w:rPr>
        <w:t xml:space="preserve">, benötigt es </w:t>
      </w:r>
      <w:r>
        <w:rPr>
          <w:rFonts w:ascii="Helvetica" w:hAnsi="Helvetica"/>
          <w:sz w:val="20"/>
        </w:rPr>
        <w:t xml:space="preserve">allerdings </w:t>
      </w:r>
      <w:r w:rsidRPr="00672536">
        <w:rPr>
          <w:rFonts w:ascii="Helvetica" w:hAnsi="Helvetica"/>
          <w:sz w:val="20"/>
        </w:rPr>
        <w:t>mehr als von agiler Sof</w:t>
      </w:r>
      <w:r w:rsidR="00E534E7">
        <w:rPr>
          <w:rFonts w:ascii="Helvetica" w:hAnsi="Helvetica"/>
          <w:sz w:val="20"/>
        </w:rPr>
        <w:t>t</w:t>
      </w:r>
      <w:r w:rsidRPr="00672536">
        <w:rPr>
          <w:rFonts w:ascii="Helvetica" w:hAnsi="Helvetica"/>
          <w:sz w:val="20"/>
        </w:rPr>
        <w:t>ware-Entwicklung</w:t>
      </w:r>
      <w:r>
        <w:rPr>
          <w:rFonts w:ascii="Helvetica" w:hAnsi="Helvetica"/>
          <w:sz w:val="20"/>
        </w:rPr>
        <w:t>smethoden</w:t>
      </w:r>
      <w:r w:rsidRPr="00672536"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>entlehnte</w:t>
      </w:r>
      <w:r w:rsidRPr="00672536">
        <w:rPr>
          <w:rFonts w:ascii="Helvetica" w:hAnsi="Helvetica"/>
          <w:sz w:val="20"/>
        </w:rPr>
        <w:t xml:space="preserve"> Vorgehensweisen wie Sprints, die </w:t>
      </w:r>
      <w:r w:rsidR="00E534E7">
        <w:rPr>
          <w:rFonts w:ascii="Helvetica" w:hAnsi="Helvetica"/>
          <w:sz w:val="20"/>
        </w:rPr>
        <w:t>Definition</w:t>
      </w:r>
      <w:r w:rsidRPr="00672536">
        <w:rPr>
          <w:rFonts w:ascii="Helvetica" w:hAnsi="Helvetica"/>
          <w:sz w:val="20"/>
        </w:rPr>
        <w:t xml:space="preserve"> von User-Storys und das Benennen von Product Ownern</w:t>
      </w:r>
      <w:r>
        <w:rPr>
          <w:rFonts w:ascii="Helvetica" w:hAnsi="Helvetica"/>
          <w:sz w:val="20"/>
        </w:rPr>
        <w:t xml:space="preserve"> etc</w:t>
      </w:r>
      <w:r w:rsidRPr="00672536">
        <w:rPr>
          <w:rFonts w:ascii="Helvetica" w:hAnsi="Helvetica"/>
          <w:sz w:val="20"/>
        </w:rPr>
        <w:t xml:space="preserve">. Denn über die Basis der agilen Grundlagen und Denkweisen hinaus </w:t>
      </w:r>
      <w:r>
        <w:rPr>
          <w:rFonts w:ascii="Helvetica" w:hAnsi="Helvetica"/>
          <w:sz w:val="20"/>
        </w:rPr>
        <w:t>kommt man um die</w:t>
      </w:r>
      <w:r w:rsidRPr="00672536"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 xml:space="preserve">Standardisierung des </w:t>
      </w:r>
      <w:r w:rsidRPr="00672536">
        <w:rPr>
          <w:rFonts w:ascii="Helvetica" w:hAnsi="Helvetica"/>
          <w:sz w:val="20"/>
        </w:rPr>
        <w:t>Data</w:t>
      </w:r>
      <w:r>
        <w:rPr>
          <w:rFonts w:ascii="Helvetica" w:hAnsi="Helvetica"/>
          <w:sz w:val="20"/>
        </w:rPr>
        <w:t>-W</w:t>
      </w:r>
      <w:r w:rsidRPr="00672536">
        <w:rPr>
          <w:rFonts w:ascii="Helvetica" w:hAnsi="Helvetica"/>
          <w:sz w:val="20"/>
        </w:rPr>
        <w:t>arehous</w:t>
      </w:r>
      <w:r>
        <w:rPr>
          <w:rFonts w:ascii="Helvetica" w:hAnsi="Helvetica"/>
          <w:sz w:val="20"/>
        </w:rPr>
        <w:t>e-Entwicklungsprozesses nicht herum.</w:t>
      </w:r>
      <w:r w:rsidRPr="00672536">
        <w:rPr>
          <w:rFonts w:ascii="Helvetica" w:hAnsi="Helvetica"/>
          <w:sz w:val="20"/>
        </w:rPr>
        <w:t xml:space="preserve"> Dazu sind jedoch die heute typischerweise über Jahre gewachsenen, heterogenen BI-Tool-Landschaften ungeeignet. Wherescap</w:t>
      </w:r>
      <w:r>
        <w:rPr>
          <w:rFonts w:ascii="Helvetica" w:hAnsi="Helvetica"/>
          <w:sz w:val="20"/>
        </w:rPr>
        <w:t>e springt in genau diese Lücke. Denn mit</w:t>
      </w:r>
      <w:r w:rsidRPr="00672536">
        <w:rPr>
          <w:rFonts w:ascii="Helvetica" w:hAnsi="Helvetica"/>
          <w:sz w:val="20"/>
        </w:rPr>
        <w:t xml:space="preserve"> der integrierten Entwicklungsumgebung lässt sich ein Grossteil der DWH-Aufgaben </w:t>
      </w:r>
      <w:r>
        <w:rPr>
          <w:rFonts w:ascii="Helvetica" w:hAnsi="Helvetica"/>
          <w:sz w:val="20"/>
        </w:rPr>
        <w:t xml:space="preserve">vollständig automatisieren – unabhängig von den vorhandenen Datenbank-Technologien und </w:t>
      </w:r>
      <w:r w:rsidRPr="00672536">
        <w:rPr>
          <w:rFonts w:ascii="Helvetica" w:hAnsi="Helvetica"/>
          <w:sz w:val="20"/>
        </w:rPr>
        <w:t xml:space="preserve">ohne eine einzige Code-Zeile </w:t>
      </w:r>
      <w:r>
        <w:rPr>
          <w:rFonts w:ascii="Helvetica" w:hAnsi="Helvetica"/>
          <w:sz w:val="20"/>
        </w:rPr>
        <w:t>zu schreiben. Über die Automatisierung des Entwicklungsprozesses hinaus</w:t>
      </w:r>
      <w:r w:rsidR="00D33325">
        <w:rPr>
          <w:rFonts w:ascii="Helvetica" w:hAnsi="Helvetica"/>
          <w:sz w:val="20"/>
        </w:rPr>
        <w:t xml:space="preserve"> umfasst DWH-Aut</w:t>
      </w:r>
      <w:r>
        <w:rPr>
          <w:rFonts w:ascii="Helvetica" w:hAnsi="Helvetica"/>
          <w:sz w:val="20"/>
        </w:rPr>
        <w:t xml:space="preserve">omatisierung mit Wherescape aber auch sämtliche Aufgaben </w:t>
      </w:r>
      <w:r w:rsidR="00CB7A10">
        <w:rPr>
          <w:rFonts w:ascii="Helvetica" w:hAnsi="Helvetica"/>
          <w:sz w:val="20"/>
        </w:rPr>
        <w:t>– </w:t>
      </w:r>
      <w:r>
        <w:rPr>
          <w:rFonts w:ascii="Helvetica" w:hAnsi="Helvetica"/>
          <w:sz w:val="20"/>
        </w:rPr>
        <w:t>angefangen bei Design und Testing, über Verteilung und Betrieb bis hin zu Abhängigkeitsanalyse und Change Management. Dies beschleunigt BI-Projekte um bis zu einem Faktor zehn und reduziert bei der Planung und Umsetzung von Data-Warehouse- und Big-Data-Lösungen Kosten und Risiken m</w:t>
      </w:r>
      <w:r w:rsidR="00E534E7">
        <w:rPr>
          <w:rFonts w:ascii="Helvetica" w:hAnsi="Helvetica"/>
          <w:sz w:val="20"/>
        </w:rPr>
        <w:t>as</w:t>
      </w:r>
      <w:r>
        <w:rPr>
          <w:rFonts w:ascii="Helvetica" w:hAnsi="Helvetica"/>
          <w:sz w:val="20"/>
        </w:rPr>
        <w:t>sgeblich.</w:t>
      </w:r>
    </w:p>
    <w:p w:rsidR="00E90518" w:rsidRDefault="00E90518" w:rsidP="00E90518">
      <w:pPr>
        <w:spacing w:line="288" w:lineRule="auto"/>
        <w:ind w:right="-142"/>
        <w:rPr>
          <w:rFonts w:ascii="Helvetica" w:hAnsi="Helvetica"/>
          <w:b/>
          <w:sz w:val="20"/>
        </w:rPr>
      </w:pPr>
    </w:p>
    <w:p w:rsidR="00E90518" w:rsidRPr="003E0BE1" w:rsidRDefault="00E90518" w:rsidP="00E90518">
      <w:pPr>
        <w:spacing w:line="288" w:lineRule="auto"/>
        <w:ind w:right="-142"/>
        <w:rPr>
          <w:rFonts w:ascii="Helvetica" w:hAnsi="Helvetica"/>
          <w:sz w:val="20"/>
        </w:rPr>
      </w:pPr>
    </w:p>
    <w:p w:rsidR="00E90518" w:rsidRPr="00EE0A19" w:rsidRDefault="00E90518" w:rsidP="003C318E">
      <w:pPr>
        <w:spacing w:beforeLines="1" w:afterLines="1"/>
        <w:outlineLvl w:val="1"/>
        <w:rPr>
          <w:rFonts w:ascii="Helvetica" w:hAnsi="Helvetica"/>
          <w:sz w:val="20"/>
        </w:rPr>
      </w:pPr>
    </w:p>
    <w:tbl>
      <w:tblPr>
        <w:tblW w:w="8613" w:type="dxa"/>
        <w:tblLayout w:type="fixed"/>
        <w:tblLook w:val="04A0"/>
      </w:tblPr>
      <w:tblGrid>
        <w:gridCol w:w="2943"/>
        <w:gridCol w:w="5670"/>
      </w:tblGrid>
      <w:tr w:rsidR="00E90518" w:rsidRPr="004F17D4">
        <w:trPr>
          <w:trHeight w:val="2127"/>
        </w:trPr>
        <w:tc>
          <w:tcPr>
            <w:tcW w:w="2943" w:type="dxa"/>
            <w:shd w:val="clear" w:color="auto" w:fill="auto"/>
          </w:tcPr>
          <w:p w:rsidR="00E90518" w:rsidRPr="00CB3C20" w:rsidRDefault="00E90518" w:rsidP="00E615D8">
            <w:pPr>
              <w:widowControl w:val="0"/>
              <w:tabs>
                <w:tab w:val="left" w:pos="2977"/>
                <w:tab w:val="left" w:pos="4111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noProof/>
                <w:sz w:val="16"/>
                <w:szCs w:val="26"/>
              </w:rPr>
            </w:pPr>
            <w:r>
              <w:rPr>
                <w:rFonts w:ascii="Arial" w:hAnsi="Arial" w:cs="Calibri"/>
                <w:noProof/>
                <w:sz w:val="16"/>
                <w:szCs w:val="26"/>
              </w:rPr>
              <w:drawing>
                <wp:inline distT="0" distB="0" distL="0" distR="0">
                  <wp:extent cx="945538" cy="1493097"/>
                  <wp:effectExtent l="25400" t="0" r="0" b="0"/>
                  <wp:docPr id="1" name="Bild 2" descr="::ITL BILDER:Samuel-Rentsch-6-mod-klein-2-(klein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:ITL BILDER:Samuel-Rentsch-6-mod-klein-2-(klein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5538" cy="14930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shd w:val="clear" w:color="auto" w:fill="auto"/>
          </w:tcPr>
          <w:p w:rsidR="00E90518" w:rsidRPr="00CB3C20" w:rsidRDefault="00E90518" w:rsidP="00E615D8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E90518" w:rsidRPr="00CB3C20" w:rsidRDefault="00E90518" w:rsidP="00E615D8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E90518" w:rsidRPr="00CB3C20" w:rsidRDefault="00E90518" w:rsidP="00E615D8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E90518" w:rsidRPr="00CB3C20" w:rsidRDefault="00E90518" w:rsidP="00E615D8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E90518" w:rsidRPr="00CB3C20" w:rsidRDefault="00E90518" w:rsidP="00E615D8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E90518" w:rsidRPr="00CB3C20" w:rsidRDefault="00E90518" w:rsidP="00E615D8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E90518" w:rsidRPr="00CB3C20" w:rsidRDefault="00E90518" w:rsidP="00E615D8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E90518" w:rsidRPr="00CB3C20" w:rsidRDefault="00E90518" w:rsidP="00E615D8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</w:p>
          <w:p w:rsidR="00E90518" w:rsidRPr="004F17D4" w:rsidRDefault="00E90518" w:rsidP="00E615D8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  <w:r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  <w:t>Samuel Rentsch, CEO und Partner, IT-Logix AG</w:t>
            </w:r>
          </w:p>
        </w:tc>
      </w:tr>
    </w:tbl>
    <w:p w:rsidR="00E90518" w:rsidRDefault="00E90518" w:rsidP="00E90518">
      <w:pPr>
        <w:spacing w:line="288" w:lineRule="auto"/>
        <w:ind w:right="-142"/>
        <w:rPr>
          <w:rFonts w:ascii="Helvetica" w:hAnsi="Helvetica"/>
          <w:sz w:val="20"/>
        </w:rPr>
      </w:pPr>
    </w:p>
    <w:p w:rsidR="00E90518" w:rsidRPr="00565580" w:rsidRDefault="00E90518" w:rsidP="00E90518">
      <w:pPr>
        <w:spacing w:line="288" w:lineRule="auto"/>
        <w:ind w:right="-142"/>
        <w:rPr>
          <w:rFonts w:ascii="Helvetica" w:hAnsi="Helvetica"/>
          <w:sz w:val="20"/>
        </w:rPr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315"/>
        <w:gridCol w:w="4394"/>
      </w:tblGrid>
      <w:tr w:rsidR="00E90518" w:rsidRPr="008B2D7C">
        <w:trPr>
          <w:trHeight w:val="73"/>
        </w:trPr>
        <w:tc>
          <w:tcPr>
            <w:tcW w:w="5315" w:type="dxa"/>
          </w:tcPr>
          <w:p w:rsidR="00E90518" w:rsidRPr="00FE3471" w:rsidRDefault="00E90518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C4323A">
              <w:rPr>
                <w:rFonts w:ascii="Helvetica" w:eastAsia="Times New Roman" w:hAnsi="Helvetica"/>
                <w:sz w:val="16"/>
              </w:rPr>
              <w:br w:type="page"/>
            </w:r>
            <w:r w:rsidRPr="00FE3471">
              <w:rPr>
                <w:rFonts w:ascii="Helvetica" w:eastAsia="Times New Roman" w:hAnsi="Helvetica"/>
                <w:b/>
                <w:sz w:val="16"/>
              </w:rPr>
              <w:t>Weitere Informationen:</w:t>
            </w:r>
          </w:p>
          <w:p w:rsidR="00E90518" w:rsidRDefault="00E90518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IT-Logix AG – Samuel Rentsch</w:t>
            </w:r>
          </w:p>
          <w:p w:rsidR="00E90518" w:rsidRDefault="00E90518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Schwarzenburgstrasse 11 – 3007 Bern</w:t>
            </w:r>
          </w:p>
          <w:p w:rsidR="00E90518" w:rsidRDefault="00E90518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Tel.: +41 848 848 058</w:t>
            </w:r>
          </w:p>
          <w:p w:rsidR="00E90518" w:rsidRPr="00ED28D0" w:rsidRDefault="003C318E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5" w:history="1">
              <w:r w:rsidR="00E90518" w:rsidRPr="00B111C4">
                <w:rPr>
                  <w:rFonts w:ascii="Helvetica" w:eastAsia="Times New Roman" w:hAnsi="Helvetica"/>
                  <w:sz w:val="16"/>
                </w:rPr>
                <w:t>contact@it-logix.ch</w:t>
              </w:r>
            </w:hyperlink>
            <w:r w:rsidR="00E90518">
              <w:rPr>
                <w:rFonts w:ascii="Helvetica" w:eastAsia="Times New Roman" w:hAnsi="Helvetica"/>
                <w:sz w:val="16"/>
              </w:rPr>
              <w:t xml:space="preserve"> – www.it-logix.ch</w:t>
            </w:r>
          </w:p>
        </w:tc>
        <w:tc>
          <w:tcPr>
            <w:tcW w:w="4394" w:type="dxa"/>
          </w:tcPr>
          <w:p w:rsidR="00E90518" w:rsidRPr="00E278EF" w:rsidRDefault="00E90518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E278EF">
              <w:rPr>
                <w:rFonts w:ascii="Helvetica" w:eastAsia="Times New Roman" w:hAnsi="Helvetica"/>
                <w:b/>
                <w:sz w:val="16"/>
              </w:rPr>
              <w:t>Presse- und Öffentlichkeitsarbeit:</w:t>
            </w:r>
          </w:p>
          <w:p w:rsidR="00E90518" w:rsidRPr="008253EF" w:rsidRDefault="00E90518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Press’n’Relations GmbH – Markus Häfliger</w:t>
            </w:r>
          </w:p>
          <w:p w:rsidR="00E90518" w:rsidRPr="008253EF" w:rsidRDefault="00E90518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Hirslanderstrasse 51 – 8032 Zürich</w:t>
            </w:r>
          </w:p>
          <w:p w:rsidR="00E90518" w:rsidRPr="008253EF" w:rsidRDefault="00E90518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 xml:space="preserve">Tel. : +41 43 344 58 65 </w:t>
            </w:r>
            <w:r>
              <w:rPr>
                <w:rFonts w:ascii="Helvetica" w:eastAsia="Times New Roman" w:hAnsi="Helvetica"/>
                <w:sz w:val="16"/>
              </w:rPr>
              <w:t>– Mobil +41 78 660 66 57</w:t>
            </w:r>
          </w:p>
          <w:p w:rsidR="00E90518" w:rsidRPr="008B2D7C" w:rsidRDefault="003C318E" w:rsidP="00E615D8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6" w:history="1">
              <w:r w:rsidR="00E90518" w:rsidRPr="00C4323A">
                <w:rPr>
                  <w:rFonts w:ascii="Helvetica" w:eastAsia="Times New Roman" w:hAnsi="Helvetica"/>
                  <w:sz w:val="16"/>
                </w:rPr>
                <w:t>mh@press-n-relations.ch</w:t>
              </w:r>
            </w:hyperlink>
            <w:r w:rsidR="00E90518">
              <w:rPr>
                <w:rFonts w:ascii="Helvetica" w:eastAsia="Times New Roman" w:hAnsi="Helvetica"/>
                <w:sz w:val="16"/>
              </w:rPr>
              <w:t xml:space="preserve"> </w:t>
            </w:r>
            <w:r w:rsidR="00E90518" w:rsidRPr="008253EF">
              <w:rPr>
                <w:rFonts w:ascii="Helvetica" w:eastAsia="Times New Roman" w:hAnsi="Helvetica"/>
                <w:sz w:val="16"/>
              </w:rPr>
              <w:t>– www.press-n-relations.ch</w:t>
            </w:r>
          </w:p>
        </w:tc>
      </w:tr>
    </w:tbl>
    <w:p w:rsidR="00E90518" w:rsidRDefault="00E90518" w:rsidP="00E90518">
      <w:pPr>
        <w:spacing w:line="100" w:lineRule="atLeast"/>
        <w:rPr>
          <w:rFonts w:ascii="Helvetica" w:eastAsia="Times New Roman" w:hAnsi="Helvetica"/>
          <w:b/>
          <w:sz w:val="18"/>
        </w:rPr>
      </w:pPr>
    </w:p>
    <w:p w:rsidR="00E90518" w:rsidRDefault="00E90518" w:rsidP="00E90518">
      <w:pPr>
        <w:spacing w:line="100" w:lineRule="atLeast"/>
        <w:rPr>
          <w:rFonts w:ascii="Helvetica" w:eastAsia="Times New Roman" w:hAnsi="Helvetica"/>
          <w:b/>
          <w:sz w:val="18"/>
        </w:rPr>
      </w:pPr>
      <w:r>
        <w:rPr>
          <w:rFonts w:ascii="Helvetica" w:eastAsia="Times New Roman" w:hAnsi="Helvetica"/>
          <w:b/>
          <w:sz w:val="18"/>
        </w:rPr>
        <w:t>Über IT-Logix</w:t>
      </w:r>
    </w:p>
    <w:p w:rsidR="00E90518" w:rsidRDefault="00E90518" w:rsidP="00E90518">
      <w:pPr>
        <w:spacing w:line="100" w:lineRule="atLeast"/>
        <w:rPr>
          <w:rFonts w:ascii="Helvetica" w:eastAsia="Times New Roman" w:hAnsi="Helvetica"/>
          <w:sz w:val="18"/>
        </w:rPr>
      </w:pPr>
      <w:r>
        <w:rPr>
          <w:rFonts w:ascii="Helvetica" w:eastAsia="Times New Roman" w:hAnsi="Helvetica"/>
          <w:sz w:val="18"/>
        </w:rPr>
        <w:t xml:space="preserve">Die </w:t>
      </w:r>
      <w:r w:rsidRPr="00FE702C">
        <w:rPr>
          <w:rFonts w:ascii="Helvetica" w:eastAsia="Times New Roman" w:hAnsi="Helvetica"/>
          <w:sz w:val="18"/>
        </w:rPr>
        <w:t>IT-Logix</w:t>
      </w:r>
      <w:r>
        <w:rPr>
          <w:rFonts w:ascii="Helvetica" w:eastAsia="Times New Roman" w:hAnsi="Helvetica"/>
          <w:sz w:val="18"/>
        </w:rPr>
        <w:t xml:space="preserve"> AG mit Standorten in Bern und Zürich</w:t>
      </w:r>
      <w:r w:rsidRPr="00FE702C">
        <w:rPr>
          <w:rFonts w:ascii="Helvetica" w:eastAsia="Times New Roman" w:hAnsi="Helvetica"/>
          <w:sz w:val="18"/>
        </w:rPr>
        <w:t xml:space="preserve"> ist eines der führenden Schweizer IT-Beratungshäuser in den Bereichen Business Intelligence</w:t>
      </w:r>
      <w:r>
        <w:rPr>
          <w:rFonts w:ascii="Helvetica" w:eastAsia="Times New Roman" w:hAnsi="Helvetica"/>
          <w:sz w:val="18"/>
        </w:rPr>
        <w:t xml:space="preserve">, </w:t>
      </w:r>
      <w:r w:rsidRPr="00FE702C">
        <w:rPr>
          <w:rFonts w:ascii="Helvetica" w:eastAsia="Times New Roman" w:hAnsi="Helvetica"/>
          <w:sz w:val="18"/>
        </w:rPr>
        <w:t>Data Warehousing</w:t>
      </w:r>
      <w:r>
        <w:rPr>
          <w:rFonts w:ascii="Helvetica" w:eastAsia="Times New Roman" w:hAnsi="Helvetica"/>
          <w:sz w:val="18"/>
        </w:rPr>
        <w:t xml:space="preserve"> und Big Data. Das Unternehmen</w:t>
      </w:r>
      <w:r w:rsidRPr="00FE702C">
        <w:rPr>
          <w:rFonts w:ascii="Helvetica" w:eastAsia="Times New Roman" w:hAnsi="Helvetica"/>
          <w:sz w:val="18"/>
        </w:rPr>
        <w:t xml:space="preserve"> </w:t>
      </w:r>
      <w:r>
        <w:rPr>
          <w:rFonts w:ascii="Helvetica" w:eastAsia="Times New Roman" w:hAnsi="Helvetica"/>
          <w:sz w:val="18"/>
        </w:rPr>
        <w:t>orientiert sich</w:t>
      </w:r>
      <w:r w:rsidRPr="00FE702C">
        <w:rPr>
          <w:rFonts w:ascii="Helvetica" w:eastAsia="Times New Roman" w:hAnsi="Helvetica"/>
          <w:sz w:val="18"/>
        </w:rPr>
        <w:t xml:space="preserve"> konsequent an fachlich anerkannter Methodik und praxisbewä</w:t>
      </w:r>
      <w:r>
        <w:rPr>
          <w:rFonts w:ascii="Helvetica" w:eastAsia="Times New Roman" w:hAnsi="Helvetica"/>
          <w:sz w:val="18"/>
        </w:rPr>
        <w:t xml:space="preserve">hrten Frameworks und bedient sich für </w:t>
      </w:r>
      <w:r w:rsidRPr="00FE702C">
        <w:rPr>
          <w:rFonts w:ascii="Helvetica" w:eastAsia="Times New Roman" w:hAnsi="Helvetica"/>
          <w:sz w:val="18"/>
        </w:rPr>
        <w:t>die technologische Umsetzung marktfü</w:t>
      </w:r>
      <w:r>
        <w:rPr>
          <w:rFonts w:ascii="Helvetica" w:eastAsia="Times New Roman" w:hAnsi="Helvetica"/>
          <w:sz w:val="18"/>
        </w:rPr>
        <w:t>hrender Werkzeuge. www.it-logix.ch</w:t>
      </w:r>
    </w:p>
    <w:p w:rsidR="00E90518" w:rsidRPr="00235A71" w:rsidRDefault="00E90518" w:rsidP="00E90518">
      <w:pPr>
        <w:spacing w:line="100" w:lineRule="atLeast"/>
        <w:rPr>
          <w:rFonts w:ascii="Helvetica" w:eastAsia="Times New Roman" w:hAnsi="Helvetica"/>
          <w:sz w:val="18"/>
        </w:rPr>
      </w:pPr>
    </w:p>
    <w:p w:rsidR="00E90518" w:rsidRDefault="00E90518" w:rsidP="00E90518"/>
    <w:p w:rsidR="00E615D8" w:rsidRDefault="00E615D8"/>
    <w:sectPr w:rsidR="00E615D8" w:rsidSect="00E615D8">
      <w:headerReference w:type="default" r:id="rId7"/>
      <w:pgSz w:w="11899" w:h="16838"/>
      <w:pgMar w:top="1418" w:right="3535" w:bottom="1843" w:left="1418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536" w:rsidRDefault="00672536">
    <w:pPr>
      <w:pStyle w:val="Kopfzeile"/>
      <w:tabs>
        <w:tab w:val="clear" w:pos="9072"/>
        <w:tab w:val="right" w:pos="9639"/>
      </w:tabs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3657600</wp:posOffset>
          </wp:positionH>
          <wp:positionV relativeFrom="paragraph">
            <wp:posOffset>-13970</wp:posOffset>
          </wp:positionV>
          <wp:extent cx="2057400" cy="676910"/>
          <wp:effectExtent l="0" t="0" r="0" b="0"/>
          <wp:wrapNone/>
          <wp:docPr id="3" name="" descr="::ITL BILDER:IT_Logix_Logo_panton_7B8A5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ITL BILDER:IT_Logix_Logo_panton_7B8A5C.EPS"/>
                  <pic:cNvPicPr>
                    <a:picLocks noChangeAspect="1" noChangeArrowheads="1"/>
                  </pic:cNvPicPr>
                </pic:nvPicPr>
                <ve:AlternateContent xmlns:ma="http://schemas.microsoft.com/office/mac/drawingml/2008/main">
                  <ve:Choice Requires="ma"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</ve:Choice>
                  <ve:Fallback xmlns:ma="http://schemas.microsoft.com/office/mac/drawingml/2008/main" xmlns=""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</ve:Fallback>
                </ve:AlternateContent>
                <pic:spPr bwMode="auto">
                  <a:xfrm>
                    <a:off x="0" y="0"/>
                    <a:ext cx="2057400" cy="676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  <w:p w:rsidR="00672536" w:rsidRDefault="00672536" w:rsidP="00E615D8">
    <w:pPr>
      <w:pStyle w:val="Kopfzeile"/>
      <w:tabs>
        <w:tab w:val="clear" w:pos="9072"/>
        <w:tab w:val="left" w:pos="2000"/>
        <w:tab w:val="right" w:pos="9639"/>
      </w:tabs>
      <w:rPr>
        <w:noProof/>
      </w:rPr>
    </w:pPr>
    <w:r>
      <w:rPr>
        <w:noProof/>
      </w:rPr>
      <w:tab/>
    </w:r>
    <w:r>
      <w:rPr>
        <w:noProof/>
      </w:rPr>
      <w:tab/>
    </w:r>
  </w:p>
  <w:p w:rsidR="00672536" w:rsidRDefault="00672536">
    <w:pPr>
      <w:pStyle w:val="Kopfzeile"/>
      <w:tabs>
        <w:tab w:val="clear" w:pos="9072"/>
        <w:tab w:val="right" w:pos="9639"/>
      </w:tabs>
    </w:pPr>
    <w:r>
      <w:rPr>
        <w:noProof/>
      </w:rPr>
      <w:tab/>
    </w:r>
    <w:r w:rsidR="00EB771A">
      <w:rPr>
        <w:noProof/>
      </w:rPr>
      <w:t xml:space="preserve"> </w:t>
    </w:r>
  </w:p>
  <w:p w:rsidR="00672536" w:rsidRDefault="00672536">
    <w:pPr>
      <w:pStyle w:val="Kopfzeile"/>
      <w:tabs>
        <w:tab w:val="clear" w:pos="9072"/>
        <w:tab w:val="right" w:pos="9639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E75B2"/>
    <w:rsid w:val="00162E7E"/>
    <w:rsid w:val="003C318E"/>
    <w:rsid w:val="003E75B2"/>
    <w:rsid w:val="00660303"/>
    <w:rsid w:val="00672536"/>
    <w:rsid w:val="00880E44"/>
    <w:rsid w:val="00B060AC"/>
    <w:rsid w:val="00CB7A10"/>
    <w:rsid w:val="00D33325"/>
    <w:rsid w:val="00E534E7"/>
    <w:rsid w:val="00E615D8"/>
    <w:rsid w:val="00E90518"/>
    <w:rsid w:val="00EB771A"/>
    <w:rsid w:val="00F5489D"/>
    <w:rsid w:val="00F91472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E75B2"/>
    <w:rPr>
      <w:rFonts w:ascii="Times" w:eastAsia="Times" w:hAnsi="Times" w:cs="Times New Roman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3E75B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3E75B2"/>
    <w:rPr>
      <w:rFonts w:ascii="Times" w:eastAsia="Times" w:hAnsi="Times" w:cs="Times New Roman"/>
      <w:lang w:eastAsia="de-DE"/>
    </w:rPr>
  </w:style>
  <w:style w:type="paragraph" w:styleId="Titel">
    <w:name w:val="Title"/>
    <w:basedOn w:val="Standard"/>
    <w:link w:val="TitelZeichen"/>
    <w:qFormat/>
    <w:rsid w:val="003E75B2"/>
    <w:pPr>
      <w:spacing w:after="60"/>
      <w:outlineLvl w:val="0"/>
    </w:pPr>
    <w:rPr>
      <w:rFonts w:ascii="Verdana" w:eastAsia="Times New Roman" w:hAnsi="Verdana" w:cs="Arial"/>
      <w:b/>
      <w:bCs/>
      <w:szCs w:val="32"/>
      <w:lang w:val="de-CH"/>
    </w:rPr>
  </w:style>
  <w:style w:type="character" w:customStyle="1" w:styleId="TitelZeichen">
    <w:name w:val="Titel Zeichen"/>
    <w:basedOn w:val="Absatzstandardschriftart"/>
    <w:link w:val="Titel"/>
    <w:rsid w:val="003E75B2"/>
    <w:rPr>
      <w:rFonts w:ascii="Verdana" w:eastAsia="Times New Roman" w:hAnsi="Verdana" w:cs="Arial"/>
      <w:b/>
      <w:bCs/>
      <w:szCs w:val="32"/>
      <w:lang w:val="de-CH" w:eastAsia="de-DE"/>
    </w:rPr>
  </w:style>
  <w:style w:type="character" w:styleId="Betont">
    <w:name w:val="Strong"/>
    <w:basedOn w:val="Absatzstandardschriftart"/>
    <w:uiPriority w:val="22"/>
    <w:rsid w:val="00672536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contact@it-logix.ch" TargetMode="External"/><Relationship Id="rId6" Type="http://schemas.openxmlformats.org/officeDocument/2006/relationships/hyperlink" Target="mailto:mh@press-n-relations.ch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df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2768</Characters>
  <Application>Microsoft Macintosh Word</Application>
  <DocSecurity>0</DocSecurity>
  <Lines>49</Lines>
  <Paragraphs>8</Paragraphs>
  <ScaleCrop>false</ScaleCrop>
  <Company>Press'n'Relations </Company>
  <LinksUpToDate>false</LinksUpToDate>
  <CharactersWithSpaces>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10</cp:revision>
  <dcterms:created xsi:type="dcterms:W3CDTF">2016-02-09T12:36:00Z</dcterms:created>
  <dcterms:modified xsi:type="dcterms:W3CDTF">2016-02-10T10:45:00Z</dcterms:modified>
</cp:coreProperties>
</file>