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8DB" w:rsidRPr="00583061" w:rsidRDefault="006F58DB" w:rsidP="006F58DB">
      <w:pPr>
        <w:spacing w:line="288" w:lineRule="auto"/>
        <w:rPr>
          <w:rFonts w:ascii="Helvetica" w:hAnsi="Helvetica"/>
          <w:b/>
          <w:color w:val="808080" w:themeColor="background1" w:themeShade="80"/>
          <w:sz w:val="20"/>
        </w:rPr>
      </w:pPr>
      <w:r>
        <w:rPr>
          <w:rFonts w:ascii="Helvetica" w:hAnsi="Helvetica"/>
          <w:b/>
          <w:color w:val="808080" w:themeColor="background1" w:themeShade="80"/>
          <w:sz w:val="20"/>
        </w:rPr>
        <w:t>Medienmitteilung</w:t>
      </w:r>
    </w:p>
    <w:p w:rsidR="006F58DB" w:rsidRPr="005A507D" w:rsidRDefault="006F58DB" w:rsidP="006F58DB">
      <w:pPr>
        <w:spacing w:line="288" w:lineRule="auto"/>
        <w:ind w:right="-99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Bern, 24. Februar 2015</w:t>
      </w:r>
    </w:p>
    <w:p w:rsidR="006F58DB" w:rsidRDefault="006F58DB" w:rsidP="006F58DB">
      <w:pPr>
        <w:spacing w:line="288" w:lineRule="auto"/>
        <w:ind w:right="-992"/>
        <w:rPr>
          <w:rFonts w:ascii="Helvetica" w:hAnsi="Helvetica" w:cs="Helvetica"/>
          <w:b/>
          <w:bCs/>
        </w:rPr>
      </w:pPr>
    </w:p>
    <w:p w:rsidR="006F58DB" w:rsidRPr="00621C2C" w:rsidRDefault="006F58DB" w:rsidP="006F58DB">
      <w:pPr>
        <w:spacing w:line="288" w:lineRule="auto"/>
        <w:ind w:right="-992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>Erfolgreiches Geschäftsjahr für IT-Logix</w:t>
      </w:r>
    </w:p>
    <w:p w:rsidR="006F58DB" w:rsidRDefault="006F58DB" w:rsidP="006F58DB">
      <w:pPr>
        <w:spacing w:line="288" w:lineRule="auto"/>
        <w:ind w:right="-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Aufbau des Geschäftsbereichs BI-Strategie und Organisation geglückt</w:t>
      </w:r>
    </w:p>
    <w:p w:rsidR="006F58DB" w:rsidRDefault="006F58DB" w:rsidP="006F58DB">
      <w:pPr>
        <w:spacing w:line="288" w:lineRule="auto"/>
        <w:ind w:right="-142"/>
        <w:rPr>
          <w:rFonts w:ascii="Helvetica" w:hAnsi="Helvetica"/>
          <w:sz w:val="20"/>
        </w:rPr>
      </w:pPr>
    </w:p>
    <w:p w:rsidR="006F58DB" w:rsidRDefault="006F58DB" w:rsidP="006F58DB">
      <w:pPr>
        <w:spacing w:line="288" w:lineRule="auto"/>
        <w:ind w:right="-142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IT-Logix kann auf ein erfreuliches Geschäftsjahr zurückblicken: 2014 konnte das auf Business Intelligence (BI), Data Warehousing und Big Data spezialisierte IT-Beratungshaus seinen Umsatz erneut steigern. Dabei waren nicht nur im angestammten Geschäft mit SAP-Anwendungen die Auftragsbücher das ganze Jahr über voll. Auch mit Microsoft-Kunden konnte der Ausbau weiter vorangetrieben werden. Besonders hervorzuheben ist überdies der Aufbau des </w:t>
      </w:r>
      <w:r w:rsidRPr="008603B3">
        <w:rPr>
          <w:rFonts w:ascii="Helvetica" w:hAnsi="Helvetica"/>
          <w:b/>
          <w:sz w:val="20"/>
        </w:rPr>
        <w:t>Bereichs BI-Strategie</w:t>
      </w:r>
      <w:r>
        <w:rPr>
          <w:rFonts w:ascii="Helvetica" w:hAnsi="Helvetica"/>
          <w:b/>
          <w:sz w:val="20"/>
        </w:rPr>
        <w:t xml:space="preserve"> und Organisation, bei welchem die Erwartungen klar übertroffen wurden. Das Geschäftsfeld BI-Strategie und Organisation ist für IT-Logix von strategischer Bedeutung, ist doch das Unternehmen dabei, sich vom reinen Technologiedienstleister zum End-to-End-Beratungspartner in allen Fragen rund um BI, Big Data und Data Warehousing zu etablieren. </w:t>
      </w:r>
    </w:p>
    <w:p w:rsidR="006F58DB" w:rsidRDefault="006F58DB" w:rsidP="006F58DB">
      <w:pPr>
        <w:spacing w:line="288" w:lineRule="auto"/>
        <w:ind w:right="-142"/>
        <w:rPr>
          <w:rFonts w:ascii="Helvetica" w:hAnsi="Helvetica"/>
          <w:b/>
          <w:sz w:val="20"/>
        </w:rPr>
      </w:pPr>
    </w:p>
    <w:p w:rsidR="006F58DB" w:rsidRPr="0097251E" w:rsidRDefault="006F58DB" w:rsidP="006F58DB">
      <w:pPr>
        <w:spacing w:line="288" w:lineRule="auto"/>
        <w:ind w:right="-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„</w:t>
      </w:r>
      <w:r w:rsidRPr="00EA620D">
        <w:rPr>
          <w:rFonts w:ascii="Helvetica" w:hAnsi="Helvetica"/>
          <w:sz w:val="20"/>
        </w:rPr>
        <w:t>BI wird</w:t>
      </w:r>
      <w:r w:rsidRPr="00564608">
        <w:rPr>
          <w:rFonts w:ascii="Helvetica" w:hAnsi="Helvetica"/>
          <w:sz w:val="20"/>
        </w:rPr>
        <w:t xml:space="preserve"> </w:t>
      </w:r>
      <w:r w:rsidR="009970FE">
        <w:rPr>
          <w:rFonts w:ascii="Helvetica" w:hAnsi="Helvetica"/>
          <w:sz w:val="20"/>
        </w:rPr>
        <w:t>in</w:t>
      </w:r>
      <w:r>
        <w:rPr>
          <w:rFonts w:ascii="Helvetica" w:hAnsi="Helvetica"/>
          <w:sz w:val="20"/>
        </w:rPr>
        <w:t xml:space="preserve"> der Chefetage</w:t>
      </w:r>
      <w:r w:rsidRPr="00EA620D">
        <w:rPr>
          <w:rFonts w:ascii="Helvetica" w:hAnsi="Helvetica"/>
          <w:sz w:val="20"/>
        </w:rPr>
        <w:t xml:space="preserve"> immer häufiger als fester Bestandteil der Unternehmensstrategie anerkannt. </w:t>
      </w:r>
      <w:r>
        <w:rPr>
          <w:rFonts w:ascii="Helvetica" w:hAnsi="Helvetica"/>
          <w:sz w:val="20"/>
        </w:rPr>
        <w:t>Dieser Entwicklung</w:t>
      </w:r>
      <w:r w:rsidRPr="0036103E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>werden</w:t>
      </w:r>
      <w:r w:rsidRPr="0036103E">
        <w:rPr>
          <w:rFonts w:ascii="Helvetica" w:hAnsi="Helvetica"/>
          <w:sz w:val="20"/>
        </w:rPr>
        <w:t xml:space="preserve"> wir </w:t>
      </w:r>
      <w:r>
        <w:rPr>
          <w:rFonts w:ascii="Helvetica" w:hAnsi="Helvetica"/>
          <w:sz w:val="20"/>
        </w:rPr>
        <w:t xml:space="preserve">mittlerweile gerecht, weil wir in unseren eigenen Teams über das </w:t>
      </w:r>
      <w:r w:rsidRPr="0036103E">
        <w:rPr>
          <w:rFonts w:ascii="Helvetica" w:hAnsi="Helvetica"/>
          <w:sz w:val="20"/>
        </w:rPr>
        <w:t xml:space="preserve">nötige Know-how und </w:t>
      </w:r>
      <w:r>
        <w:rPr>
          <w:rFonts w:ascii="Helvetica" w:hAnsi="Helvetica"/>
          <w:sz w:val="20"/>
        </w:rPr>
        <w:t>die praktische Erfahrung mit BI-Strategie verfügen</w:t>
      </w:r>
      <w:r w:rsidRPr="0036103E">
        <w:rPr>
          <w:rFonts w:ascii="Helvetica" w:hAnsi="Helvetica"/>
          <w:sz w:val="20"/>
        </w:rPr>
        <w:t>“</w:t>
      </w:r>
      <w:r>
        <w:rPr>
          <w:rFonts w:ascii="Helvetica" w:hAnsi="Helvetica"/>
          <w:sz w:val="20"/>
        </w:rPr>
        <w:t xml:space="preserve">, kommentiert Samuel Rentsch, CEO und Partner von IT-Logix, die Entwicklung. </w:t>
      </w:r>
      <w:r>
        <w:rPr>
          <w:rFonts w:ascii="Helvetica" w:hAnsi="Helvetica"/>
          <w:b/>
          <w:sz w:val="20"/>
        </w:rPr>
        <w:t>„</w:t>
      </w:r>
      <w:r w:rsidRPr="00EA620D">
        <w:rPr>
          <w:rFonts w:ascii="Helvetica" w:hAnsi="Helvetica"/>
          <w:sz w:val="20"/>
        </w:rPr>
        <w:t xml:space="preserve">Nachdem wir letzten Sommer mit dem neuen </w:t>
      </w:r>
      <w:r>
        <w:rPr>
          <w:rFonts w:ascii="Helvetica" w:hAnsi="Helvetica"/>
          <w:sz w:val="20"/>
        </w:rPr>
        <w:t>Angebot</w:t>
      </w:r>
      <w:r w:rsidRPr="00EA620D">
        <w:rPr>
          <w:rFonts w:ascii="Helvetica" w:hAnsi="Helvetica"/>
          <w:sz w:val="20"/>
        </w:rPr>
        <w:t xml:space="preserve"> gestartet sind, </w:t>
      </w:r>
      <w:r>
        <w:rPr>
          <w:rFonts w:ascii="Helvetica" w:hAnsi="Helvetica"/>
          <w:sz w:val="20"/>
        </w:rPr>
        <w:t>haben</w:t>
      </w:r>
      <w:r w:rsidRPr="00EA620D">
        <w:rPr>
          <w:rFonts w:ascii="Helvetica" w:hAnsi="Helvetica"/>
          <w:sz w:val="20"/>
        </w:rPr>
        <w:t xml:space="preserve"> wir bereits einige Neukunden dafür </w:t>
      </w:r>
      <w:r>
        <w:rPr>
          <w:rFonts w:ascii="Helvetica" w:hAnsi="Helvetica"/>
          <w:sz w:val="20"/>
        </w:rPr>
        <w:t>gewonnen</w:t>
      </w:r>
      <w:r w:rsidRPr="00EA620D">
        <w:rPr>
          <w:rFonts w:ascii="Helvetica" w:hAnsi="Helvetica"/>
          <w:sz w:val="20"/>
        </w:rPr>
        <w:t xml:space="preserve">“, </w:t>
      </w:r>
      <w:r>
        <w:rPr>
          <w:rFonts w:ascii="Helvetica" w:hAnsi="Helvetica"/>
          <w:sz w:val="20"/>
        </w:rPr>
        <w:t>freut er sich.</w:t>
      </w:r>
      <w:r w:rsidRPr="00EA620D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>IT-</w:t>
      </w:r>
      <w:r w:rsidRPr="008603B3">
        <w:rPr>
          <w:rFonts w:ascii="Helvetica" w:hAnsi="Helvetica"/>
          <w:sz w:val="20"/>
        </w:rPr>
        <w:t>Logix konnte den</w:t>
      </w:r>
      <w:r>
        <w:rPr>
          <w:rFonts w:ascii="Helvetica" w:hAnsi="Helvetica"/>
          <w:sz w:val="20"/>
        </w:rPr>
        <w:t xml:space="preserve"> Schwung des vergangenen Jahres ins 2015 mitnehmen, ist doch das neue Geschäftsjahr bereits gut angelaufen. </w:t>
      </w:r>
      <w:r w:rsidRPr="00537D19">
        <w:rPr>
          <w:rFonts w:ascii="Helvetica" w:hAnsi="Helvetica"/>
          <w:sz w:val="20"/>
        </w:rPr>
        <w:t xml:space="preserve">Mit rund 35 </w:t>
      </w:r>
      <w:r>
        <w:rPr>
          <w:rFonts w:ascii="Helvetica" w:hAnsi="Helvetica"/>
          <w:sz w:val="20"/>
        </w:rPr>
        <w:t>f</w:t>
      </w:r>
      <w:r w:rsidRPr="00537D19">
        <w:rPr>
          <w:rFonts w:ascii="Helvetica" w:hAnsi="Helvetica"/>
          <w:sz w:val="20"/>
        </w:rPr>
        <w:t>estangestellten Consultan</w:t>
      </w:r>
      <w:r>
        <w:rPr>
          <w:rFonts w:ascii="Helvetica" w:hAnsi="Helvetica"/>
          <w:sz w:val="20"/>
        </w:rPr>
        <w:t>t</w:t>
      </w:r>
      <w:r w:rsidRPr="00537D19">
        <w:rPr>
          <w:rFonts w:ascii="Helvetica" w:hAnsi="Helvetica"/>
          <w:sz w:val="20"/>
        </w:rPr>
        <w:t xml:space="preserve">s, Software-Ingenieuren und -Architekten </w:t>
      </w:r>
      <w:r>
        <w:rPr>
          <w:rFonts w:ascii="Helvetica" w:hAnsi="Helvetica"/>
          <w:sz w:val="20"/>
        </w:rPr>
        <w:t xml:space="preserve">gehört IT-Logix zu den führenden, </w:t>
      </w:r>
      <w:r w:rsidRPr="00537D19">
        <w:rPr>
          <w:rFonts w:ascii="Helvetica" w:hAnsi="Helvetica"/>
          <w:sz w:val="20"/>
        </w:rPr>
        <w:t>rein auf BI und anverwandte Themen spezialisierte</w:t>
      </w:r>
      <w:r>
        <w:rPr>
          <w:rFonts w:ascii="Helvetica" w:hAnsi="Helvetica"/>
          <w:sz w:val="20"/>
        </w:rPr>
        <w:t>n</w:t>
      </w:r>
      <w:r w:rsidRPr="00537D19">
        <w:rPr>
          <w:rFonts w:ascii="Helvetica" w:hAnsi="Helvetica"/>
          <w:sz w:val="20"/>
        </w:rPr>
        <w:t xml:space="preserve"> Schweizer Beratungsunternehmen.</w:t>
      </w:r>
      <w:r>
        <w:rPr>
          <w:rFonts w:ascii="Helvetica" w:hAnsi="Helvetica"/>
          <w:b/>
          <w:sz w:val="20"/>
        </w:rPr>
        <w:t xml:space="preserve"> </w:t>
      </w:r>
    </w:p>
    <w:p w:rsidR="006F58DB" w:rsidRPr="00E75CE5" w:rsidRDefault="006F58DB" w:rsidP="006F58DB">
      <w:pPr>
        <w:spacing w:line="288" w:lineRule="auto"/>
        <w:ind w:right="-142"/>
        <w:rPr>
          <w:rFonts w:ascii="Helvetica" w:hAnsi="Helvetica"/>
          <w:b/>
          <w:sz w:val="20"/>
        </w:rPr>
      </w:pPr>
    </w:p>
    <w:tbl>
      <w:tblPr>
        <w:tblW w:w="8613" w:type="dxa"/>
        <w:tblLayout w:type="fixed"/>
        <w:tblLook w:val="04A0"/>
      </w:tblPr>
      <w:tblGrid>
        <w:gridCol w:w="1809"/>
        <w:gridCol w:w="6804"/>
      </w:tblGrid>
      <w:tr w:rsidR="006F58DB" w:rsidRPr="005171F9">
        <w:trPr>
          <w:trHeight w:val="2127"/>
        </w:trPr>
        <w:tc>
          <w:tcPr>
            <w:tcW w:w="1809" w:type="dxa"/>
            <w:shd w:val="clear" w:color="auto" w:fill="auto"/>
          </w:tcPr>
          <w:p w:rsidR="006F58DB" w:rsidRPr="005171F9" w:rsidRDefault="006F58DB" w:rsidP="00413DB1">
            <w:pPr>
              <w:widowControl w:val="0"/>
              <w:tabs>
                <w:tab w:val="left" w:pos="2977"/>
                <w:tab w:val="left" w:pos="4111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de-CH"/>
              </w:rPr>
            </w:pPr>
            <w:r>
              <w:rPr>
                <w:rFonts w:ascii="Arial" w:hAnsi="Arial" w:cs="Calibri"/>
                <w:noProof/>
                <w:sz w:val="16"/>
                <w:szCs w:val="26"/>
              </w:rPr>
              <w:drawing>
                <wp:inline distT="0" distB="0" distL="0" distR="0">
                  <wp:extent cx="945538" cy="1493097"/>
                  <wp:effectExtent l="25400" t="0" r="0" b="0"/>
                  <wp:docPr id="20" name="Bild 2" descr="::ITL BILDER:Samuel-Rentsch-6-mod-klein-2-(klein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ITL BILDER:Samuel-Rentsch-6-mod-klein-2-(klein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5538" cy="14930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  <w:shd w:val="clear" w:color="auto" w:fill="auto"/>
          </w:tcPr>
          <w:p w:rsidR="006F58DB" w:rsidRPr="005171F9" w:rsidRDefault="006F58DB" w:rsidP="00413DB1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val="de-CH"/>
              </w:rPr>
            </w:pPr>
          </w:p>
          <w:p w:rsidR="006F58DB" w:rsidRPr="005171F9" w:rsidRDefault="006F58DB" w:rsidP="00413DB1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val="de-CH"/>
              </w:rPr>
            </w:pPr>
          </w:p>
          <w:p w:rsidR="006F58DB" w:rsidRPr="005171F9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</w:rPr>
            </w:pPr>
          </w:p>
          <w:p w:rsidR="006F58DB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</w:rPr>
            </w:pPr>
          </w:p>
          <w:p w:rsidR="006F58DB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</w:rPr>
            </w:pPr>
          </w:p>
          <w:p w:rsidR="006F58DB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</w:rPr>
            </w:pPr>
          </w:p>
          <w:p w:rsidR="006F58DB" w:rsidRPr="005171F9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</w:rPr>
            </w:pPr>
          </w:p>
          <w:p w:rsidR="006F58DB" w:rsidRPr="005171F9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</w:rPr>
            </w:pPr>
          </w:p>
          <w:p w:rsidR="006F58DB" w:rsidRPr="004F17D4" w:rsidRDefault="006F58DB" w:rsidP="00413DB1">
            <w:pPr>
              <w:pStyle w:val="Titel"/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</w:pPr>
            <w:r>
              <w:rPr>
                <w:rFonts w:ascii="Arial" w:eastAsia="Cambria" w:hAnsi="Arial" w:cs="Calibri"/>
                <w:bCs w:val="0"/>
                <w:sz w:val="16"/>
                <w:szCs w:val="26"/>
                <w:lang w:val="en-US"/>
              </w:rPr>
              <w:t>Samuel Rentsch, CEO und Partner, IT-Logix AG</w:t>
            </w:r>
          </w:p>
        </w:tc>
      </w:tr>
    </w:tbl>
    <w:p w:rsidR="006F58DB" w:rsidRPr="00565580" w:rsidRDefault="006F58DB" w:rsidP="006F58DB">
      <w:pPr>
        <w:spacing w:line="288" w:lineRule="auto"/>
        <w:ind w:right="-142"/>
        <w:rPr>
          <w:rFonts w:ascii="Helvetica" w:hAnsi="Helvetica"/>
          <w:sz w:val="20"/>
        </w:rPr>
      </w:pPr>
    </w:p>
    <w:tbl>
      <w:tblPr>
        <w:tblW w:w="9709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315"/>
        <w:gridCol w:w="4394"/>
      </w:tblGrid>
      <w:tr w:rsidR="006F58DB" w:rsidRPr="008B2D7C">
        <w:trPr>
          <w:trHeight w:val="73"/>
        </w:trPr>
        <w:tc>
          <w:tcPr>
            <w:tcW w:w="5315" w:type="dxa"/>
          </w:tcPr>
          <w:p w:rsidR="006F58DB" w:rsidRPr="00FE3471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C4323A">
              <w:rPr>
                <w:rFonts w:ascii="Helvetica" w:eastAsia="Times New Roman" w:hAnsi="Helvetica"/>
                <w:sz w:val="16"/>
              </w:rPr>
              <w:br w:type="page"/>
            </w:r>
            <w:r w:rsidRPr="00FE3471">
              <w:rPr>
                <w:rFonts w:ascii="Helvetica" w:eastAsia="Times New Roman" w:hAnsi="Helvetica"/>
                <w:b/>
                <w:sz w:val="16"/>
              </w:rPr>
              <w:t>Weitere Informationen:</w:t>
            </w:r>
          </w:p>
          <w:p w:rsidR="006F58DB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IT-Logix AG – Samuel Rentsch</w:t>
            </w:r>
          </w:p>
          <w:p w:rsidR="006F58DB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Schwarzenburgstrasse 11 – 3007 Bern</w:t>
            </w:r>
          </w:p>
          <w:p w:rsidR="006F58DB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>
              <w:rPr>
                <w:rFonts w:ascii="Helvetica" w:eastAsia="Times New Roman" w:hAnsi="Helvetica"/>
                <w:sz w:val="16"/>
              </w:rPr>
              <w:t>Tel.: +41 848 848 058</w:t>
            </w:r>
          </w:p>
          <w:p w:rsidR="006F58DB" w:rsidRPr="00ED28D0" w:rsidRDefault="000E2862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5" w:history="1">
              <w:r w:rsidR="006F58DB" w:rsidRPr="00B111C4">
                <w:rPr>
                  <w:rFonts w:ascii="Helvetica" w:eastAsia="Times New Roman" w:hAnsi="Helvetica"/>
                  <w:sz w:val="16"/>
                </w:rPr>
                <w:t>contact@it-logix.ch</w:t>
              </w:r>
            </w:hyperlink>
            <w:r w:rsidR="006F58DB">
              <w:rPr>
                <w:rFonts w:ascii="Helvetica" w:eastAsia="Times New Roman" w:hAnsi="Helvetica"/>
                <w:sz w:val="16"/>
              </w:rPr>
              <w:t xml:space="preserve"> – www.it-logix.ch</w:t>
            </w:r>
          </w:p>
        </w:tc>
        <w:tc>
          <w:tcPr>
            <w:tcW w:w="4394" w:type="dxa"/>
          </w:tcPr>
          <w:p w:rsidR="006F58DB" w:rsidRPr="00E278EF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b/>
                <w:sz w:val="16"/>
              </w:rPr>
            </w:pPr>
            <w:r w:rsidRPr="00E278EF">
              <w:rPr>
                <w:rFonts w:ascii="Helvetica" w:eastAsia="Times New Roman" w:hAnsi="Helvetica"/>
                <w:b/>
                <w:sz w:val="16"/>
              </w:rPr>
              <w:t>Presse- und Öffentlichkeitsarbeit:</w:t>
            </w:r>
          </w:p>
          <w:p w:rsidR="006F58DB" w:rsidRPr="008253EF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Press’n’Relations GmbH – Markus Häfliger</w:t>
            </w:r>
          </w:p>
          <w:p w:rsidR="006F58DB" w:rsidRPr="008253EF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>Hirslanderstrasse 51 – 8032 Zürich</w:t>
            </w:r>
          </w:p>
          <w:p w:rsidR="006F58DB" w:rsidRPr="008253EF" w:rsidRDefault="006F58DB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r w:rsidRPr="008253EF">
              <w:rPr>
                <w:rFonts w:ascii="Helvetica" w:eastAsia="Times New Roman" w:hAnsi="Helvetica"/>
                <w:sz w:val="16"/>
              </w:rPr>
              <w:t xml:space="preserve">Tel. : +41 43 344 58 65 </w:t>
            </w:r>
            <w:r>
              <w:rPr>
                <w:rFonts w:ascii="Helvetica" w:eastAsia="Times New Roman" w:hAnsi="Helvetica"/>
                <w:sz w:val="16"/>
              </w:rPr>
              <w:t>– Mobil +41 78 660 66 57</w:t>
            </w:r>
          </w:p>
          <w:p w:rsidR="006F58DB" w:rsidRPr="008B2D7C" w:rsidRDefault="000E2862" w:rsidP="00413DB1">
            <w:pPr>
              <w:widowControl w:val="0"/>
              <w:adjustRightInd w:val="0"/>
              <w:spacing w:line="288" w:lineRule="auto"/>
              <w:rPr>
                <w:rFonts w:ascii="Helvetica" w:eastAsia="Times New Roman" w:hAnsi="Helvetica"/>
                <w:sz w:val="16"/>
              </w:rPr>
            </w:pPr>
            <w:hyperlink r:id="rId6" w:history="1">
              <w:r w:rsidR="006F58DB" w:rsidRPr="00C4323A">
                <w:rPr>
                  <w:rFonts w:ascii="Helvetica" w:eastAsia="Times New Roman" w:hAnsi="Helvetica"/>
                  <w:sz w:val="16"/>
                </w:rPr>
                <w:t>mh@press-n-relations.ch</w:t>
              </w:r>
            </w:hyperlink>
            <w:r w:rsidR="006F58DB">
              <w:rPr>
                <w:rFonts w:ascii="Helvetica" w:eastAsia="Times New Roman" w:hAnsi="Helvetica"/>
                <w:sz w:val="16"/>
              </w:rPr>
              <w:t xml:space="preserve"> </w:t>
            </w:r>
            <w:r w:rsidR="006F58DB" w:rsidRPr="008253EF">
              <w:rPr>
                <w:rFonts w:ascii="Helvetica" w:eastAsia="Times New Roman" w:hAnsi="Helvetica"/>
                <w:sz w:val="16"/>
              </w:rPr>
              <w:t>– www.press-n-relations.ch</w:t>
            </w:r>
          </w:p>
        </w:tc>
      </w:tr>
    </w:tbl>
    <w:p w:rsidR="006F58DB" w:rsidRDefault="006F58DB" w:rsidP="006F58DB">
      <w:pPr>
        <w:spacing w:line="100" w:lineRule="atLeast"/>
        <w:rPr>
          <w:rFonts w:ascii="Helvetica" w:eastAsia="Times New Roman" w:hAnsi="Helvetica"/>
          <w:b/>
          <w:sz w:val="18"/>
        </w:rPr>
      </w:pPr>
    </w:p>
    <w:p w:rsidR="006F58DB" w:rsidRDefault="006F58DB" w:rsidP="006F58DB">
      <w:pPr>
        <w:spacing w:line="100" w:lineRule="atLeast"/>
        <w:rPr>
          <w:rFonts w:ascii="Helvetica" w:eastAsia="Times New Roman" w:hAnsi="Helvetica"/>
          <w:b/>
          <w:sz w:val="18"/>
        </w:rPr>
      </w:pPr>
      <w:r>
        <w:rPr>
          <w:rFonts w:ascii="Helvetica" w:eastAsia="Times New Roman" w:hAnsi="Helvetica"/>
          <w:b/>
          <w:sz w:val="18"/>
        </w:rPr>
        <w:t>Über IT-Logix</w:t>
      </w:r>
    </w:p>
    <w:p w:rsidR="006F58DB" w:rsidRPr="00FE702C" w:rsidRDefault="006F58DB" w:rsidP="006F58DB">
      <w:pPr>
        <w:spacing w:line="100" w:lineRule="atLeast"/>
        <w:rPr>
          <w:rFonts w:ascii="Helvetica" w:eastAsia="Times New Roman" w:hAnsi="Helvetica"/>
          <w:sz w:val="18"/>
        </w:rPr>
      </w:pPr>
      <w:r>
        <w:rPr>
          <w:rFonts w:ascii="Helvetica" w:eastAsia="Times New Roman" w:hAnsi="Helvetica"/>
          <w:sz w:val="18"/>
        </w:rPr>
        <w:t xml:space="preserve">Die </w:t>
      </w:r>
      <w:r w:rsidRPr="00FE702C">
        <w:rPr>
          <w:rFonts w:ascii="Helvetica" w:eastAsia="Times New Roman" w:hAnsi="Helvetica"/>
          <w:sz w:val="18"/>
        </w:rPr>
        <w:t>IT-Logix</w:t>
      </w:r>
      <w:r>
        <w:rPr>
          <w:rFonts w:ascii="Helvetica" w:eastAsia="Times New Roman" w:hAnsi="Helvetica"/>
          <w:sz w:val="18"/>
        </w:rPr>
        <w:t xml:space="preserve"> AG mit Standorten in Bern und Zürich</w:t>
      </w:r>
      <w:r w:rsidRPr="00FE702C">
        <w:rPr>
          <w:rFonts w:ascii="Helvetica" w:eastAsia="Times New Roman" w:hAnsi="Helvetica"/>
          <w:sz w:val="18"/>
        </w:rPr>
        <w:t xml:space="preserve"> ist eines der führenden Schweizer IT-Beratungshäuser in den Bereichen Business Intelligence</w:t>
      </w:r>
      <w:r>
        <w:rPr>
          <w:rFonts w:ascii="Helvetica" w:eastAsia="Times New Roman" w:hAnsi="Helvetica"/>
          <w:sz w:val="18"/>
        </w:rPr>
        <w:t xml:space="preserve">, </w:t>
      </w:r>
      <w:r w:rsidRPr="00FE702C">
        <w:rPr>
          <w:rFonts w:ascii="Helvetica" w:eastAsia="Times New Roman" w:hAnsi="Helvetica"/>
          <w:sz w:val="18"/>
        </w:rPr>
        <w:t>Data Warehousing</w:t>
      </w:r>
      <w:r>
        <w:rPr>
          <w:rFonts w:ascii="Helvetica" w:eastAsia="Times New Roman" w:hAnsi="Helvetica"/>
          <w:sz w:val="18"/>
        </w:rPr>
        <w:t xml:space="preserve"> und Big Data</w:t>
      </w:r>
      <w:r w:rsidR="006B29EB">
        <w:rPr>
          <w:rFonts w:ascii="Helvetica" w:eastAsia="Times New Roman" w:hAnsi="Helvetica"/>
          <w:sz w:val="18"/>
        </w:rPr>
        <w:t xml:space="preserve">. </w:t>
      </w:r>
      <w:r>
        <w:rPr>
          <w:rFonts w:ascii="Helvetica" w:eastAsia="Times New Roman" w:hAnsi="Helvetica"/>
          <w:sz w:val="18"/>
        </w:rPr>
        <w:t>Das Unternehmen</w:t>
      </w:r>
      <w:r w:rsidRPr="00FE702C">
        <w:rPr>
          <w:rFonts w:ascii="Helvetica" w:eastAsia="Times New Roman" w:hAnsi="Helvetica"/>
          <w:sz w:val="18"/>
        </w:rPr>
        <w:t xml:space="preserve"> </w:t>
      </w:r>
      <w:r>
        <w:rPr>
          <w:rFonts w:ascii="Helvetica" w:eastAsia="Times New Roman" w:hAnsi="Helvetica"/>
          <w:sz w:val="18"/>
        </w:rPr>
        <w:t>orientiert sich</w:t>
      </w:r>
      <w:r w:rsidRPr="00FE702C">
        <w:rPr>
          <w:rFonts w:ascii="Helvetica" w:eastAsia="Times New Roman" w:hAnsi="Helvetica"/>
          <w:sz w:val="18"/>
        </w:rPr>
        <w:t xml:space="preserve"> konsequent an fachlich anerkannter Methodik und praxisbewä</w:t>
      </w:r>
      <w:r>
        <w:rPr>
          <w:rFonts w:ascii="Helvetica" w:eastAsia="Times New Roman" w:hAnsi="Helvetica"/>
          <w:sz w:val="18"/>
        </w:rPr>
        <w:t xml:space="preserve">hrten Frameworks und bedient sich für </w:t>
      </w:r>
      <w:r w:rsidRPr="00FE702C">
        <w:rPr>
          <w:rFonts w:ascii="Helvetica" w:eastAsia="Times New Roman" w:hAnsi="Helvetica"/>
          <w:sz w:val="18"/>
        </w:rPr>
        <w:t>die technologische Umsetzung marktfü</w:t>
      </w:r>
      <w:r>
        <w:rPr>
          <w:rFonts w:ascii="Helvetica" w:eastAsia="Times New Roman" w:hAnsi="Helvetica"/>
          <w:sz w:val="18"/>
        </w:rPr>
        <w:t>hrender Werkzeuge. www.it-logix.ch</w:t>
      </w:r>
    </w:p>
    <w:p w:rsidR="006F58DB" w:rsidRPr="00FE702C" w:rsidRDefault="006F58DB" w:rsidP="006F58DB">
      <w:pPr>
        <w:spacing w:line="100" w:lineRule="atLeast"/>
        <w:rPr>
          <w:rFonts w:ascii="Helvetica" w:eastAsia="Times New Roman" w:hAnsi="Helvetica"/>
          <w:sz w:val="18"/>
        </w:rPr>
      </w:pPr>
    </w:p>
    <w:p w:rsidR="006F58DB" w:rsidRPr="00FE702C" w:rsidRDefault="006F58DB" w:rsidP="006F58DB">
      <w:pPr>
        <w:spacing w:line="100" w:lineRule="atLeast"/>
        <w:rPr>
          <w:rFonts w:ascii="Helvetica" w:eastAsia="Times New Roman" w:hAnsi="Helvetica"/>
          <w:sz w:val="18"/>
        </w:rPr>
      </w:pPr>
    </w:p>
    <w:p w:rsidR="006F58DB" w:rsidRDefault="006F58DB" w:rsidP="006F58DB"/>
    <w:p w:rsidR="006F58DB" w:rsidRDefault="006F58DB" w:rsidP="006F58DB"/>
    <w:p w:rsidR="00413DB1" w:rsidRDefault="00413DB1"/>
    <w:sectPr w:rsidR="00413DB1" w:rsidSect="00413DB1">
      <w:headerReference w:type="default" r:id="rId7"/>
      <w:pgSz w:w="11899" w:h="16838"/>
      <w:pgMar w:top="1418" w:right="3252" w:bottom="1843" w:left="1418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7D19" w:rsidRDefault="00537D19">
    <w:pPr>
      <w:pStyle w:val="Kopfzeile"/>
      <w:tabs>
        <w:tab w:val="clear" w:pos="9072"/>
        <w:tab w:val="right" w:pos="9639"/>
      </w:tabs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3657600</wp:posOffset>
          </wp:positionH>
          <wp:positionV relativeFrom="paragraph">
            <wp:posOffset>-13970</wp:posOffset>
          </wp:positionV>
          <wp:extent cx="2057400" cy="676910"/>
          <wp:effectExtent l="0" t="0" r="0" b="0"/>
          <wp:wrapNone/>
          <wp:docPr id="3" name="" descr="::ITL BILDER:IT_Logix_Logo_panton_7B8A5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ITL BILDER:IT_Logix_Logo_panton_7B8A5C.EPS"/>
                  <pic:cNvPicPr>
                    <a:picLocks noChangeAspect="1" noChangeArrowheads="1"/>
                  </pic:cNvPicPr>
                </pic:nvPicPr>
                <ve:AlternateContent xmlns:ma="http://schemas.microsoft.com/office/mac/drawingml/2008/main">
                  <ve:Choice Requires="ma"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</ve:Choice>
                  <ve:Fallback xmlns:pic="http://schemas.openxmlformats.org/drawingml/2006/picture" xmlns:a="http://schemas.openxmlformats.org/drawingml/2006/main" xmlns:wne="http://schemas.microsoft.com/office/word/2006/wordml" xmlns:w="http://schemas.openxmlformats.org/wordprocessingml/2006/main" xmlns:w10="urn:schemas-microsoft-com:office:word" xmlns:wp="http://schemas.openxmlformats.org/drawingml/2006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ve="http://schemas.openxmlformats.org/markup-compatibility/2006" xmlns:mo="http://schemas.microsoft.com/office/mac/office/2008/main" xmlns="" xmlns:ma="http://schemas.microsoft.com/office/mac/drawingml/2008/main"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</ve:Fallback>
                </ve:AlternateContent>
                <pic:spPr bwMode="auto">
                  <a:xfrm>
                    <a:off x="0" y="0"/>
                    <a:ext cx="2057400" cy="6769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                                                                                       </w:t>
    </w:r>
  </w:p>
  <w:p w:rsidR="00537D19" w:rsidRDefault="00537D19" w:rsidP="00413DB1">
    <w:pPr>
      <w:pStyle w:val="Kopfzeile"/>
      <w:tabs>
        <w:tab w:val="clear" w:pos="9072"/>
        <w:tab w:val="left" w:pos="2000"/>
        <w:tab w:val="right" w:pos="9639"/>
      </w:tabs>
      <w:rPr>
        <w:noProof/>
      </w:rPr>
    </w:pPr>
    <w:r>
      <w:rPr>
        <w:noProof/>
      </w:rPr>
      <w:tab/>
    </w:r>
    <w:r>
      <w:rPr>
        <w:noProof/>
      </w:rPr>
      <w:tab/>
    </w:r>
  </w:p>
  <w:p w:rsidR="00537D19" w:rsidRDefault="00537D19">
    <w:pPr>
      <w:pStyle w:val="Kopfzeile"/>
      <w:tabs>
        <w:tab w:val="clear" w:pos="9072"/>
        <w:tab w:val="right" w:pos="9639"/>
      </w:tabs>
    </w:pPr>
    <w:r>
      <w:rPr>
        <w:noProof/>
      </w:rPr>
      <w:tab/>
      <w:t xml:space="preserve">  </w:t>
    </w:r>
  </w:p>
  <w:p w:rsidR="00537D19" w:rsidRDefault="00537D19">
    <w:pPr>
      <w:pStyle w:val="Kopfzeile"/>
      <w:tabs>
        <w:tab w:val="clear" w:pos="9072"/>
        <w:tab w:val="right" w:pos="9639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1727A"/>
    <w:rsid w:val="000E2862"/>
    <w:rsid w:val="00314E16"/>
    <w:rsid w:val="0036103E"/>
    <w:rsid w:val="003C6FAF"/>
    <w:rsid w:val="00413DB1"/>
    <w:rsid w:val="00537D19"/>
    <w:rsid w:val="006B29EB"/>
    <w:rsid w:val="006C0074"/>
    <w:rsid w:val="006F58DB"/>
    <w:rsid w:val="008603B3"/>
    <w:rsid w:val="0097251E"/>
    <w:rsid w:val="009970FE"/>
    <w:rsid w:val="00A1506F"/>
    <w:rsid w:val="00B55A99"/>
    <w:rsid w:val="00B81170"/>
    <w:rsid w:val="00B928AA"/>
    <w:rsid w:val="00C01059"/>
    <w:rsid w:val="00D1727A"/>
    <w:rsid w:val="00DC1B4F"/>
    <w:rsid w:val="00E75CE5"/>
    <w:rsid w:val="00EA620D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1727A"/>
    <w:rPr>
      <w:rFonts w:ascii="Times" w:eastAsia="Times" w:hAnsi="Times" w:cs="Times New Roman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rsid w:val="00D1727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D1727A"/>
    <w:rPr>
      <w:rFonts w:ascii="Times" w:eastAsia="Times" w:hAnsi="Times" w:cs="Times New Roman"/>
      <w:lang w:eastAsia="de-DE"/>
    </w:rPr>
  </w:style>
  <w:style w:type="paragraph" w:styleId="Titel">
    <w:name w:val="Title"/>
    <w:basedOn w:val="Standard"/>
    <w:link w:val="TitelZeichen"/>
    <w:qFormat/>
    <w:rsid w:val="00D1727A"/>
    <w:pPr>
      <w:spacing w:after="60"/>
      <w:outlineLvl w:val="0"/>
    </w:pPr>
    <w:rPr>
      <w:rFonts w:ascii="Verdana" w:eastAsia="Times New Roman" w:hAnsi="Verdana" w:cs="Arial"/>
      <w:b/>
      <w:bCs/>
      <w:szCs w:val="32"/>
      <w:lang w:val="de-CH"/>
    </w:rPr>
  </w:style>
  <w:style w:type="character" w:customStyle="1" w:styleId="TitelZeichen">
    <w:name w:val="Titel Zeichen"/>
    <w:basedOn w:val="Absatzstandardschriftart"/>
    <w:link w:val="Titel"/>
    <w:rsid w:val="00D1727A"/>
    <w:rPr>
      <w:rFonts w:ascii="Verdana" w:eastAsia="Times New Roman" w:hAnsi="Verdana" w:cs="Arial"/>
      <w:b/>
      <w:bCs/>
      <w:szCs w:val="32"/>
      <w:lang w:val="de-CH"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EA620D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EA620D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EA620D"/>
    <w:rPr>
      <w:rFonts w:ascii="Times" w:eastAsia="Times" w:hAnsi="Times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EA620D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EA620D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A620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A620D"/>
    <w:rPr>
      <w:rFonts w:ascii="Lucida Grande" w:eastAsia="Times" w:hAnsi="Lucida Grande" w:cs="Times New Roman"/>
      <w:sz w:val="18"/>
      <w:szCs w:val="18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hyperlink" Target="mailto:contact@it-logix.ch" TargetMode="External"/><Relationship Id="rId6" Type="http://schemas.openxmlformats.org/officeDocument/2006/relationships/hyperlink" Target="mailto:mh@press-n-relations.ch" TargetMode="Externa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df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384</Words>
  <Characters>2194</Characters>
  <Application>Microsoft Macintosh Word</Application>
  <DocSecurity>0</DocSecurity>
  <Lines>18</Lines>
  <Paragraphs>4</Paragraphs>
  <ScaleCrop>false</ScaleCrop>
  <Company>Press'n'Relations 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9</cp:revision>
  <dcterms:created xsi:type="dcterms:W3CDTF">2015-02-17T10:11:00Z</dcterms:created>
  <dcterms:modified xsi:type="dcterms:W3CDTF">2015-02-23T08:58:00Z</dcterms:modified>
</cp:coreProperties>
</file>