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1CA" w:rsidRPr="00583061" w:rsidRDefault="00F201CA" w:rsidP="00F201CA">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F201CA" w:rsidRPr="005A507D" w:rsidRDefault="00F201CA" w:rsidP="00F201CA">
      <w:pPr>
        <w:spacing w:line="288" w:lineRule="auto"/>
        <w:ind w:right="-992"/>
        <w:rPr>
          <w:rFonts w:ascii="Helvetica" w:hAnsi="Helvetica"/>
          <w:sz w:val="20"/>
        </w:rPr>
      </w:pPr>
      <w:r>
        <w:rPr>
          <w:rFonts w:ascii="Helvetica" w:hAnsi="Helvetica"/>
          <w:sz w:val="20"/>
        </w:rPr>
        <w:t xml:space="preserve">Bern, </w:t>
      </w:r>
      <w:r w:rsidR="00A653C7">
        <w:rPr>
          <w:rFonts w:ascii="Helvetica" w:hAnsi="Helvetica"/>
          <w:sz w:val="20"/>
        </w:rPr>
        <w:t>10</w:t>
      </w:r>
      <w:r>
        <w:rPr>
          <w:rFonts w:ascii="Helvetica" w:hAnsi="Helvetica"/>
          <w:sz w:val="20"/>
        </w:rPr>
        <w:t>. Juli 2015</w:t>
      </w:r>
    </w:p>
    <w:p w:rsidR="00F201CA" w:rsidRDefault="00F201CA" w:rsidP="00F201CA">
      <w:pPr>
        <w:spacing w:line="288" w:lineRule="auto"/>
        <w:ind w:right="-992"/>
        <w:rPr>
          <w:rFonts w:ascii="Helvetica" w:hAnsi="Helvetica" w:cs="Helvetica"/>
          <w:b/>
          <w:bCs/>
        </w:rPr>
      </w:pPr>
    </w:p>
    <w:p w:rsidR="00F201CA" w:rsidRPr="00621C2C" w:rsidRDefault="00F201CA" w:rsidP="00F201CA">
      <w:pPr>
        <w:spacing w:line="288" w:lineRule="auto"/>
        <w:ind w:right="-1702"/>
        <w:rPr>
          <w:rFonts w:ascii="Helvetica" w:hAnsi="Helvetica" w:cs="Helvetica"/>
          <w:b/>
          <w:bCs/>
        </w:rPr>
      </w:pPr>
      <w:r>
        <w:rPr>
          <w:rFonts w:ascii="Helvetica" w:hAnsi="Helvetica" w:cs="Helvetica"/>
          <w:b/>
          <w:bCs/>
        </w:rPr>
        <w:t>IT-Logix vertreibt 360suite von GB&amp;Smith in der DACH-Region</w:t>
      </w:r>
    </w:p>
    <w:p w:rsidR="00F201CA" w:rsidRDefault="00F201CA" w:rsidP="00F201CA">
      <w:pPr>
        <w:spacing w:line="288" w:lineRule="auto"/>
        <w:ind w:right="-568"/>
        <w:rPr>
          <w:rFonts w:ascii="Helvetica" w:hAnsi="Helvetica"/>
          <w:sz w:val="20"/>
        </w:rPr>
      </w:pPr>
      <w:r>
        <w:rPr>
          <w:rFonts w:ascii="Helvetica" w:hAnsi="Helvetica"/>
          <w:sz w:val="20"/>
        </w:rPr>
        <w:t xml:space="preserve">Delphine Froment bearbeitet den deutschsprachigen Markt </w:t>
      </w:r>
    </w:p>
    <w:p w:rsidR="00F201CA" w:rsidRDefault="00F201CA" w:rsidP="00F201CA">
      <w:pPr>
        <w:spacing w:line="288" w:lineRule="auto"/>
        <w:ind w:right="-142"/>
        <w:rPr>
          <w:rFonts w:ascii="Helvetica" w:hAnsi="Helvetica"/>
          <w:sz w:val="20"/>
        </w:rPr>
      </w:pPr>
    </w:p>
    <w:p w:rsidR="00F201CA" w:rsidRDefault="00F201CA" w:rsidP="00F201CA">
      <w:pPr>
        <w:spacing w:line="288" w:lineRule="auto"/>
        <w:ind w:right="-142"/>
        <w:rPr>
          <w:rFonts w:ascii="Helvetica" w:hAnsi="Helvetica"/>
          <w:b/>
          <w:sz w:val="20"/>
        </w:rPr>
      </w:pPr>
      <w:r>
        <w:rPr>
          <w:rFonts w:ascii="Helvetica" w:hAnsi="Helvetica"/>
          <w:b/>
          <w:sz w:val="20"/>
        </w:rPr>
        <w:t xml:space="preserve">Das auf Business Intelligence (BI), Data Warehousing und Big Data spezialisierte IT-Beratungshaus IT-Logix erhält von GB&amp;Smith die Rechte für den Vertrieb von 360suite in Deutschland, Österreich und der Schweiz. IT-Logix ist bereits seit zehn Jahren Partner für die auf SAP Business Objects ausgerichtete Security- und Lizenzmanagement-Software des französischen Herstellers, hat aber in der Vergangenheit hauptsächlich Projekte in der Schweiz abgewickelt. Mit dem nun erweiterten Distributionsrecht wird das Unternehmen jetzt den gesamten deutschsprachigen Raum offensiv bearbeiten und so sein Geschäft mit den Lösungen von GB&amp;Smith aktiv ausbauen. Dazu wurde im Business Development eine neue Stelle geschaffen, für welche zum 1. Juli 2015 Delphine Froment verpflichtet werden konnte. Froment kommt von Euler Hermes, wo sie im Bereich Marktbeobachtung und Konkurrenzanalysen tätig war. Sie hat einen Triple European Master in International Management der Ipag Business </w:t>
      </w:r>
      <w:r w:rsidR="00C14A8F">
        <w:rPr>
          <w:rFonts w:ascii="Helvetica" w:hAnsi="Helvetica"/>
          <w:b/>
          <w:sz w:val="20"/>
        </w:rPr>
        <w:t>School</w:t>
      </w:r>
      <w:r>
        <w:rPr>
          <w:rFonts w:ascii="Helvetica" w:hAnsi="Helvetica"/>
          <w:b/>
          <w:sz w:val="20"/>
        </w:rPr>
        <w:t xml:space="preserve"> Paris, HTW Dresden und der Piekhanov Russian University of Economics Moskau und einen Master in European Studies der Pariser Universität Sorbonne. Zusätzlich zur 360suite wird IT-Logix als Vertriebspartner von GB&amp;Smith auch den Absatz der 365suite, dem Pendant zur 360suite für Plattformen ausserhalb des Bereichs SAP Business Objects in der DACH-Region vorantreiben.</w:t>
      </w:r>
    </w:p>
    <w:p w:rsidR="00F201CA" w:rsidRDefault="00F201CA" w:rsidP="00F201CA">
      <w:pPr>
        <w:spacing w:line="288" w:lineRule="auto"/>
        <w:ind w:right="-142"/>
        <w:rPr>
          <w:rFonts w:ascii="Helvetica" w:hAnsi="Helvetica"/>
          <w:b/>
          <w:sz w:val="20"/>
        </w:rPr>
      </w:pPr>
    </w:p>
    <w:p w:rsidR="00F201CA" w:rsidRDefault="00F201CA" w:rsidP="00F201CA">
      <w:pPr>
        <w:spacing w:line="288" w:lineRule="auto"/>
        <w:ind w:right="-142"/>
        <w:rPr>
          <w:rFonts w:ascii="Helvetica" w:hAnsi="Helvetica"/>
          <w:sz w:val="20"/>
        </w:rPr>
      </w:pPr>
      <w:r>
        <w:rPr>
          <w:rFonts w:ascii="Helvetica" w:hAnsi="Helvetica"/>
          <w:sz w:val="20"/>
        </w:rPr>
        <w:t>„</w:t>
      </w:r>
      <w:r w:rsidRPr="00C0735A">
        <w:rPr>
          <w:rFonts w:ascii="Helvetica" w:hAnsi="Helvetica"/>
          <w:sz w:val="20"/>
        </w:rPr>
        <w:t xml:space="preserve">Wir sehen ein </w:t>
      </w:r>
      <w:r>
        <w:rPr>
          <w:rFonts w:ascii="Helvetica" w:hAnsi="Helvetica"/>
          <w:sz w:val="20"/>
        </w:rPr>
        <w:t xml:space="preserve">sehr </w:t>
      </w:r>
      <w:r w:rsidRPr="00C0735A">
        <w:rPr>
          <w:rFonts w:ascii="Helvetica" w:hAnsi="Helvetica"/>
          <w:sz w:val="20"/>
        </w:rPr>
        <w:t xml:space="preserve">grosses Potenzial in der Nische </w:t>
      </w:r>
      <w:r>
        <w:rPr>
          <w:rFonts w:ascii="Helvetica" w:hAnsi="Helvetica"/>
          <w:sz w:val="20"/>
        </w:rPr>
        <w:t>der Lösungen zu</w:t>
      </w:r>
      <w:r w:rsidRPr="00C0735A">
        <w:rPr>
          <w:rFonts w:ascii="Helvetica" w:hAnsi="Helvetica"/>
          <w:sz w:val="20"/>
        </w:rPr>
        <w:t xml:space="preserve"> </w:t>
      </w:r>
      <w:r>
        <w:rPr>
          <w:rFonts w:ascii="Helvetica" w:hAnsi="Helvetica"/>
          <w:sz w:val="20"/>
        </w:rPr>
        <w:t>intelligenten Administration von Zugriffsrechten und des Lizenzmanagements</w:t>
      </w:r>
      <w:r w:rsidRPr="00C0735A">
        <w:rPr>
          <w:rFonts w:ascii="Helvetica" w:hAnsi="Helvetica"/>
          <w:sz w:val="20"/>
        </w:rPr>
        <w:t>. Dies gilt sowohl für 360</w:t>
      </w:r>
      <w:r>
        <w:rPr>
          <w:rFonts w:ascii="Helvetica" w:hAnsi="Helvetica"/>
          <w:sz w:val="20"/>
        </w:rPr>
        <w:t>s</w:t>
      </w:r>
      <w:r w:rsidRPr="00C0735A">
        <w:rPr>
          <w:rFonts w:ascii="Helvetica" w:hAnsi="Helvetica"/>
          <w:sz w:val="20"/>
        </w:rPr>
        <w:t>uite, die bei SAP-Plattformen</w:t>
      </w:r>
      <w:r>
        <w:rPr>
          <w:rFonts w:ascii="Helvetica" w:hAnsi="Helvetica"/>
          <w:sz w:val="20"/>
        </w:rPr>
        <w:t xml:space="preserve"> zu</w:t>
      </w:r>
      <w:r w:rsidR="00C14A8F">
        <w:rPr>
          <w:rFonts w:ascii="Helvetica" w:hAnsi="Helvetica"/>
          <w:sz w:val="20"/>
        </w:rPr>
        <w:t>m</w:t>
      </w:r>
      <w:r>
        <w:rPr>
          <w:rFonts w:ascii="Helvetica" w:hAnsi="Helvetica"/>
          <w:sz w:val="20"/>
        </w:rPr>
        <w:t xml:space="preserve"> Einsatz kommt, als auch für die </w:t>
      </w:r>
      <w:r w:rsidRPr="00C0735A">
        <w:rPr>
          <w:rFonts w:ascii="Helvetica" w:hAnsi="Helvetica"/>
          <w:sz w:val="20"/>
        </w:rPr>
        <w:t xml:space="preserve">Lösungen </w:t>
      </w:r>
      <w:r>
        <w:rPr>
          <w:rFonts w:ascii="Helvetica" w:hAnsi="Helvetica"/>
          <w:sz w:val="20"/>
        </w:rPr>
        <w:t>für Nicht-SAP-Plattformen, etwa im</w:t>
      </w:r>
      <w:r w:rsidRPr="00C0735A">
        <w:rPr>
          <w:rFonts w:ascii="Helvetica" w:hAnsi="Helvetica"/>
          <w:sz w:val="20"/>
        </w:rPr>
        <w:t xml:space="preserve"> Oracle- und Microsoft-Um</w:t>
      </w:r>
      <w:r>
        <w:rPr>
          <w:rFonts w:ascii="Helvetica" w:hAnsi="Helvetica"/>
          <w:sz w:val="20"/>
        </w:rPr>
        <w:t>f</w:t>
      </w:r>
      <w:r w:rsidRPr="00C0735A">
        <w:rPr>
          <w:rFonts w:ascii="Helvetica" w:hAnsi="Helvetica"/>
          <w:sz w:val="20"/>
        </w:rPr>
        <w:t>eld“, sagt S</w:t>
      </w:r>
      <w:r>
        <w:rPr>
          <w:rFonts w:ascii="Helvetica" w:hAnsi="Helvetica"/>
          <w:sz w:val="20"/>
        </w:rPr>
        <w:t>amuel Rentsch, CEO von IT-Logix. „Jedes Unternehmen, das bei der Rechtevergabe und -kontrolle eine minimale Komplexität aufweist, ist für uns ein potenzieller Kunde.“ Dies gelte unabhängig davon, ob es sich um BI-Anwendungen handle oder nicht, habe doch heute eigentlich jedes Unternehmen in irgendeiner Form Microsoft-Datenbanken im Einsatz, deren Administration sich mit den Lösungen von GB&amp;</w:t>
      </w:r>
      <w:r w:rsidR="00C14A8F">
        <w:rPr>
          <w:rFonts w:ascii="Helvetica" w:hAnsi="Helvetica"/>
          <w:sz w:val="20"/>
        </w:rPr>
        <w:t>Smith massiv vereinfachen lasse</w:t>
      </w:r>
      <w:r>
        <w:rPr>
          <w:rFonts w:ascii="Helvetica" w:hAnsi="Helvetica"/>
          <w:sz w:val="20"/>
        </w:rPr>
        <w:t>.</w:t>
      </w:r>
      <w:r w:rsidRPr="006D5F5E">
        <w:rPr>
          <w:rFonts w:ascii="Helvetica" w:hAnsi="Helvetica"/>
          <w:sz w:val="20"/>
        </w:rPr>
        <w:t xml:space="preserve"> </w:t>
      </w:r>
    </w:p>
    <w:p w:rsidR="00F201CA" w:rsidRDefault="00F201CA" w:rsidP="00F201CA">
      <w:pPr>
        <w:spacing w:line="288" w:lineRule="auto"/>
        <w:ind w:right="-142"/>
        <w:rPr>
          <w:rFonts w:ascii="Helvetica" w:hAnsi="Helvetica"/>
          <w:sz w:val="20"/>
        </w:rPr>
      </w:pPr>
    </w:p>
    <w:p w:rsidR="00F201CA" w:rsidRPr="001B5C73" w:rsidRDefault="00F201CA" w:rsidP="00F201CA">
      <w:pPr>
        <w:spacing w:line="288" w:lineRule="auto"/>
        <w:ind w:right="-142"/>
        <w:rPr>
          <w:rFonts w:ascii="Helvetica" w:hAnsi="Helvetica"/>
          <w:b/>
          <w:sz w:val="20"/>
        </w:rPr>
      </w:pPr>
      <w:r w:rsidRPr="001B5C73">
        <w:rPr>
          <w:rFonts w:ascii="Helvetica" w:hAnsi="Helvetica"/>
          <w:b/>
          <w:sz w:val="20"/>
        </w:rPr>
        <w:t>360</w:t>
      </w:r>
      <w:r>
        <w:rPr>
          <w:rFonts w:ascii="Helvetica" w:hAnsi="Helvetica"/>
          <w:b/>
          <w:sz w:val="20"/>
        </w:rPr>
        <w:t>s</w:t>
      </w:r>
      <w:r w:rsidRPr="001B5C73">
        <w:rPr>
          <w:rFonts w:ascii="Helvetica" w:hAnsi="Helvetica"/>
          <w:b/>
          <w:sz w:val="20"/>
        </w:rPr>
        <w:t>uite und 365</w:t>
      </w:r>
      <w:r>
        <w:rPr>
          <w:rFonts w:ascii="Helvetica" w:hAnsi="Helvetica"/>
          <w:b/>
          <w:sz w:val="20"/>
        </w:rPr>
        <w:t>s</w:t>
      </w:r>
      <w:r w:rsidRPr="001B5C73">
        <w:rPr>
          <w:rFonts w:ascii="Helvetica" w:hAnsi="Helvetica"/>
          <w:b/>
          <w:sz w:val="20"/>
        </w:rPr>
        <w:t>uite von GB&amp;Smith</w:t>
      </w:r>
    </w:p>
    <w:p w:rsidR="00F201CA" w:rsidRDefault="00F201CA" w:rsidP="00F201CA">
      <w:pPr>
        <w:spacing w:line="288" w:lineRule="auto"/>
        <w:ind w:right="-142"/>
        <w:rPr>
          <w:rFonts w:ascii="Helvetica" w:hAnsi="Helvetica"/>
          <w:sz w:val="20"/>
        </w:rPr>
      </w:pPr>
      <w:r w:rsidRPr="001B5C73">
        <w:rPr>
          <w:rFonts w:ascii="Helvetica" w:hAnsi="Helvetica"/>
          <w:sz w:val="20"/>
        </w:rPr>
        <w:t>GB&amp;Smith ist ein französisches Technologieunternehmen mit Sitz in Lille. Ihre Administration</w:t>
      </w:r>
      <w:r>
        <w:rPr>
          <w:rFonts w:ascii="Helvetica" w:hAnsi="Helvetica"/>
          <w:sz w:val="20"/>
        </w:rPr>
        <w:t>-Intelligence-Add-On-</w:t>
      </w:r>
      <w:r w:rsidRPr="001B5C73">
        <w:rPr>
          <w:rFonts w:ascii="Helvetica" w:hAnsi="Helvetica"/>
          <w:sz w:val="20"/>
        </w:rPr>
        <w:t>Lösung 360suite erweitert die SAP BI-Plattform Business</w:t>
      </w:r>
      <w:r>
        <w:rPr>
          <w:rFonts w:ascii="Helvetica" w:hAnsi="Helvetica"/>
          <w:sz w:val="20"/>
        </w:rPr>
        <w:t xml:space="preserve"> </w:t>
      </w:r>
      <w:r w:rsidRPr="001B5C73">
        <w:rPr>
          <w:rFonts w:ascii="Helvetica" w:hAnsi="Helvetica"/>
          <w:sz w:val="20"/>
        </w:rPr>
        <w:t xml:space="preserve">Objects </w:t>
      </w:r>
      <w:r>
        <w:rPr>
          <w:rFonts w:ascii="Helvetica" w:hAnsi="Helvetica"/>
          <w:sz w:val="20"/>
        </w:rPr>
        <w:t xml:space="preserve">um </w:t>
      </w:r>
      <w:r w:rsidRPr="001B5C73">
        <w:rPr>
          <w:rFonts w:ascii="Helvetica" w:hAnsi="Helvetica"/>
          <w:sz w:val="20"/>
        </w:rPr>
        <w:t xml:space="preserve">Standardfunktionalitäten im Bereich Administration, Verteilung, Backup und Audit. </w:t>
      </w:r>
      <w:r>
        <w:rPr>
          <w:rFonts w:ascii="Helvetica" w:hAnsi="Helvetica"/>
          <w:sz w:val="20"/>
        </w:rPr>
        <w:t>Sie ermöglicht es</w:t>
      </w:r>
      <w:r w:rsidRPr="001B5C73">
        <w:rPr>
          <w:rFonts w:ascii="Helvetica" w:hAnsi="Helvetica"/>
          <w:sz w:val="20"/>
        </w:rPr>
        <w:t xml:space="preserve">, tägliches Arbeiten mit der BI-Plattform zu vereinfachen und bevorstehende Migrationen effizient umzusetzen. Die kürzlich lancierte Produktlinie 365 hebt die bisherige Limitierung </w:t>
      </w:r>
      <w:r>
        <w:rPr>
          <w:rFonts w:ascii="Helvetica" w:hAnsi="Helvetica"/>
          <w:sz w:val="20"/>
        </w:rPr>
        <w:t xml:space="preserve">auf SAP Business Objects </w:t>
      </w:r>
      <w:r w:rsidRPr="001B5C73">
        <w:rPr>
          <w:rFonts w:ascii="Helvetica" w:hAnsi="Helvetica"/>
          <w:sz w:val="20"/>
        </w:rPr>
        <w:t xml:space="preserve">auf und </w:t>
      </w:r>
      <w:r>
        <w:rPr>
          <w:rFonts w:ascii="Helvetica" w:hAnsi="Helvetica"/>
          <w:sz w:val="20"/>
        </w:rPr>
        <w:t xml:space="preserve">umfasst neben dem Add-On für SAP </w:t>
      </w:r>
      <w:r w:rsidRPr="001B5C73">
        <w:rPr>
          <w:rFonts w:ascii="Helvetica" w:hAnsi="Helvetica"/>
          <w:sz w:val="20"/>
        </w:rPr>
        <w:t>Business</w:t>
      </w:r>
      <w:r>
        <w:rPr>
          <w:rFonts w:ascii="Helvetica" w:hAnsi="Helvetica"/>
          <w:sz w:val="20"/>
        </w:rPr>
        <w:t xml:space="preserve"> Objects auch </w:t>
      </w:r>
      <w:r w:rsidRPr="001B5C73">
        <w:rPr>
          <w:rFonts w:ascii="Helvetica" w:hAnsi="Helvetica"/>
          <w:sz w:val="20"/>
        </w:rPr>
        <w:t xml:space="preserve">Lösungen </w:t>
      </w:r>
      <w:r>
        <w:rPr>
          <w:rFonts w:ascii="Helvetica" w:hAnsi="Helvetica"/>
          <w:sz w:val="20"/>
        </w:rPr>
        <w:t>zur Vereinfachung der Administration von BI- und Datenbank-Plattformen anderer Hersteller.</w:t>
      </w:r>
    </w:p>
    <w:p w:rsidR="00F201CA" w:rsidRPr="00EE0A19" w:rsidRDefault="00F201CA" w:rsidP="00F201CA">
      <w:pPr>
        <w:spacing w:line="288" w:lineRule="auto"/>
        <w:ind w:right="-142"/>
        <w:rPr>
          <w:rFonts w:ascii="Helvetica" w:hAnsi="Helvetica"/>
          <w:sz w:val="20"/>
        </w:rPr>
      </w:pPr>
    </w:p>
    <w:tbl>
      <w:tblPr>
        <w:tblW w:w="8613" w:type="dxa"/>
        <w:tblLayout w:type="fixed"/>
        <w:tblLook w:val="04A0"/>
      </w:tblPr>
      <w:tblGrid>
        <w:gridCol w:w="1951"/>
        <w:gridCol w:w="6662"/>
      </w:tblGrid>
      <w:tr w:rsidR="00F201CA" w:rsidRPr="00D61EA6">
        <w:trPr>
          <w:trHeight w:val="2256"/>
        </w:trPr>
        <w:tc>
          <w:tcPr>
            <w:tcW w:w="1951" w:type="dxa"/>
            <w:shd w:val="clear" w:color="auto" w:fill="auto"/>
          </w:tcPr>
          <w:p w:rsidR="00F201CA" w:rsidRPr="005171F9" w:rsidRDefault="00C45A94" w:rsidP="00C0735A">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inline distT="0" distB="0" distL="0" distR="0">
                  <wp:extent cx="939557" cy="1522730"/>
                  <wp:effectExtent l="25400" t="0" r="243" b="0"/>
                  <wp:docPr id="8" name="Bild 5" descr=":::Bildschirmfoto 2015-07-10 um 08.06.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schirmfoto 2015-07-10 um 08.06.02.png"/>
                          <pic:cNvPicPr>
                            <a:picLocks noChangeAspect="1" noChangeArrowheads="1"/>
                          </pic:cNvPicPr>
                        </pic:nvPicPr>
                        <pic:blipFill>
                          <a:blip r:embed="rId4"/>
                          <a:srcRect/>
                          <a:stretch>
                            <a:fillRect/>
                          </a:stretch>
                        </pic:blipFill>
                        <pic:spPr bwMode="auto">
                          <a:xfrm>
                            <a:off x="0" y="0"/>
                            <a:ext cx="939557" cy="1522730"/>
                          </a:xfrm>
                          <a:prstGeom prst="rect">
                            <a:avLst/>
                          </a:prstGeom>
                          <a:noFill/>
                          <a:ln w="9525">
                            <a:noFill/>
                            <a:miter lim="800000"/>
                            <a:headEnd/>
                            <a:tailEnd/>
                          </a:ln>
                        </pic:spPr>
                      </pic:pic>
                    </a:graphicData>
                  </a:graphic>
                </wp:inline>
              </w:drawing>
            </w:r>
          </w:p>
        </w:tc>
        <w:tc>
          <w:tcPr>
            <w:tcW w:w="6662" w:type="dxa"/>
            <w:shd w:val="clear" w:color="auto" w:fill="auto"/>
          </w:tcPr>
          <w:p w:rsidR="00F201CA" w:rsidRPr="005171F9" w:rsidRDefault="00F201CA" w:rsidP="00C0735A">
            <w:pPr>
              <w:widowControl w:val="0"/>
              <w:autoSpaceDE w:val="0"/>
              <w:autoSpaceDN w:val="0"/>
              <w:adjustRightInd w:val="0"/>
              <w:spacing w:line="220" w:lineRule="atLeast"/>
              <w:ind w:left="34" w:right="742"/>
              <w:rPr>
                <w:rFonts w:ascii="Arial" w:hAnsi="Arial" w:cs="Calibri"/>
                <w:sz w:val="16"/>
                <w:szCs w:val="26"/>
                <w:lang w:val="de-CH"/>
              </w:rPr>
            </w:pPr>
          </w:p>
          <w:p w:rsidR="00F201CA" w:rsidRPr="005171F9" w:rsidRDefault="00F201CA" w:rsidP="00C0735A">
            <w:pPr>
              <w:widowControl w:val="0"/>
              <w:autoSpaceDE w:val="0"/>
              <w:autoSpaceDN w:val="0"/>
              <w:adjustRightInd w:val="0"/>
              <w:spacing w:line="220" w:lineRule="atLeast"/>
              <w:ind w:left="34" w:right="742"/>
              <w:rPr>
                <w:rFonts w:ascii="Arial" w:hAnsi="Arial" w:cs="Calibri"/>
                <w:sz w:val="16"/>
                <w:szCs w:val="26"/>
                <w:lang w:val="de-CH"/>
              </w:rPr>
            </w:pPr>
          </w:p>
          <w:p w:rsidR="00F201CA" w:rsidRPr="005171F9" w:rsidRDefault="00F201CA" w:rsidP="00C0735A">
            <w:pPr>
              <w:pStyle w:val="Titel"/>
              <w:rPr>
                <w:rFonts w:ascii="Arial" w:eastAsia="Cambria" w:hAnsi="Arial" w:cs="Calibri"/>
                <w:bCs w:val="0"/>
                <w:sz w:val="16"/>
                <w:szCs w:val="26"/>
              </w:rPr>
            </w:pPr>
          </w:p>
          <w:p w:rsidR="00F201CA" w:rsidRDefault="00F201CA" w:rsidP="00C0735A">
            <w:pPr>
              <w:pStyle w:val="Titel"/>
              <w:rPr>
                <w:rFonts w:ascii="Arial" w:eastAsia="Cambria" w:hAnsi="Arial" w:cs="Calibri"/>
                <w:bCs w:val="0"/>
                <w:sz w:val="16"/>
                <w:szCs w:val="26"/>
              </w:rPr>
            </w:pPr>
          </w:p>
          <w:p w:rsidR="00E22762" w:rsidRDefault="00E22762" w:rsidP="00C0735A">
            <w:pPr>
              <w:pStyle w:val="Titel"/>
              <w:rPr>
                <w:rFonts w:ascii="Arial" w:eastAsia="Cambria" w:hAnsi="Arial" w:cs="Calibri"/>
                <w:bCs w:val="0"/>
                <w:sz w:val="16"/>
                <w:szCs w:val="26"/>
              </w:rPr>
            </w:pPr>
          </w:p>
          <w:p w:rsidR="00F201CA" w:rsidRDefault="00F201CA" w:rsidP="00C0735A">
            <w:pPr>
              <w:pStyle w:val="Titel"/>
              <w:rPr>
                <w:rFonts w:ascii="Arial" w:eastAsia="Cambria" w:hAnsi="Arial" w:cs="Calibri"/>
                <w:bCs w:val="0"/>
                <w:sz w:val="16"/>
                <w:szCs w:val="26"/>
              </w:rPr>
            </w:pPr>
          </w:p>
          <w:p w:rsidR="00F201CA" w:rsidRPr="005171F9" w:rsidRDefault="00F201CA" w:rsidP="00C0735A">
            <w:pPr>
              <w:pStyle w:val="Titel"/>
              <w:rPr>
                <w:rFonts w:ascii="Arial" w:eastAsia="Cambria" w:hAnsi="Arial" w:cs="Calibri"/>
                <w:bCs w:val="0"/>
                <w:sz w:val="16"/>
                <w:szCs w:val="26"/>
              </w:rPr>
            </w:pPr>
          </w:p>
          <w:p w:rsidR="00F201CA" w:rsidRPr="005171F9" w:rsidRDefault="00F201CA" w:rsidP="00C0735A">
            <w:pPr>
              <w:pStyle w:val="Titel"/>
              <w:rPr>
                <w:rFonts w:ascii="Arial" w:eastAsia="Cambria" w:hAnsi="Arial" w:cs="Calibri"/>
                <w:bCs w:val="0"/>
                <w:sz w:val="16"/>
                <w:szCs w:val="26"/>
              </w:rPr>
            </w:pPr>
          </w:p>
          <w:p w:rsidR="00F201CA" w:rsidRPr="004F17D4" w:rsidRDefault="00F201CA" w:rsidP="00EA2125">
            <w:pPr>
              <w:pStyle w:val="Titel"/>
              <w:rPr>
                <w:rFonts w:ascii="Arial" w:eastAsia="Cambria" w:hAnsi="Arial" w:cs="Calibri"/>
                <w:bCs w:val="0"/>
                <w:sz w:val="16"/>
                <w:szCs w:val="26"/>
                <w:lang w:val="en-US"/>
              </w:rPr>
            </w:pPr>
            <w:r>
              <w:rPr>
                <w:rFonts w:ascii="Arial" w:eastAsia="Cambria" w:hAnsi="Arial" w:cs="Calibri"/>
                <w:bCs w:val="0"/>
                <w:sz w:val="16"/>
                <w:szCs w:val="26"/>
                <w:lang w:val="en-US"/>
              </w:rPr>
              <w:t>Delphine Froment, Business Development Executive, IT-Logix AG</w:t>
            </w:r>
          </w:p>
        </w:tc>
      </w:tr>
      <w:tr w:rsidR="00F201CA" w:rsidRPr="005171F9">
        <w:trPr>
          <w:trHeight w:val="2127"/>
        </w:trPr>
        <w:tc>
          <w:tcPr>
            <w:tcW w:w="1951" w:type="dxa"/>
            <w:shd w:val="clear" w:color="auto" w:fill="auto"/>
          </w:tcPr>
          <w:p w:rsidR="00F201CA" w:rsidRPr="005171F9" w:rsidRDefault="00F201CA" w:rsidP="00C0735A">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inline distT="0" distB="0" distL="0" distR="0">
                  <wp:extent cx="945538" cy="1493097"/>
                  <wp:effectExtent l="25400" t="0" r="0" b="0"/>
                  <wp:docPr id="1" name="Bild 2" descr="::ITL BILDER:Samuel-Rentsch-6-mod-klein-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L BILDER:Samuel-Rentsch-6-mod-klein-2-(klein).jpg"/>
                          <pic:cNvPicPr>
                            <a:picLocks noChangeAspect="1" noChangeArrowheads="1"/>
                          </pic:cNvPicPr>
                        </pic:nvPicPr>
                        <pic:blipFill>
                          <a:blip r:embed="rId5"/>
                          <a:srcRect/>
                          <a:stretch>
                            <a:fillRect/>
                          </a:stretch>
                        </pic:blipFill>
                        <pic:spPr bwMode="auto">
                          <a:xfrm>
                            <a:off x="0" y="0"/>
                            <a:ext cx="945538" cy="1493097"/>
                          </a:xfrm>
                          <a:prstGeom prst="rect">
                            <a:avLst/>
                          </a:prstGeom>
                          <a:noFill/>
                          <a:ln w="9525">
                            <a:noFill/>
                            <a:miter lim="800000"/>
                            <a:headEnd/>
                            <a:tailEnd/>
                          </a:ln>
                        </pic:spPr>
                      </pic:pic>
                    </a:graphicData>
                  </a:graphic>
                </wp:inline>
              </w:drawing>
            </w:r>
          </w:p>
        </w:tc>
        <w:tc>
          <w:tcPr>
            <w:tcW w:w="6662" w:type="dxa"/>
            <w:shd w:val="clear" w:color="auto" w:fill="auto"/>
          </w:tcPr>
          <w:p w:rsidR="00F201CA" w:rsidRPr="005171F9" w:rsidRDefault="00F201CA" w:rsidP="00C0735A">
            <w:pPr>
              <w:widowControl w:val="0"/>
              <w:autoSpaceDE w:val="0"/>
              <w:autoSpaceDN w:val="0"/>
              <w:adjustRightInd w:val="0"/>
              <w:spacing w:line="220" w:lineRule="atLeast"/>
              <w:ind w:left="34" w:right="742"/>
              <w:rPr>
                <w:rFonts w:ascii="Arial" w:hAnsi="Arial" w:cs="Calibri"/>
                <w:sz w:val="16"/>
                <w:szCs w:val="26"/>
                <w:lang w:val="de-CH"/>
              </w:rPr>
            </w:pPr>
          </w:p>
          <w:p w:rsidR="00F201CA" w:rsidRPr="005171F9" w:rsidRDefault="00F201CA" w:rsidP="00C0735A">
            <w:pPr>
              <w:widowControl w:val="0"/>
              <w:autoSpaceDE w:val="0"/>
              <w:autoSpaceDN w:val="0"/>
              <w:adjustRightInd w:val="0"/>
              <w:spacing w:line="220" w:lineRule="atLeast"/>
              <w:ind w:left="34" w:right="742"/>
              <w:rPr>
                <w:rFonts w:ascii="Arial" w:hAnsi="Arial" w:cs="Calibri"/>
                <w:sz w:val="16"/>
                <w:szCs w:val="26"/>
                <w:lang w:val="de-CH"/>
              </w:rPr>
            </w:pPr>
          </w:p>
          <w:p w:rsidR="00F201CA" w:rsidRPr="005171F9" w:rsidRDefault="00F201CA" w:rsidP="00C0735A">
            <w:pPr>
              <w:pStyle w:val="Titel"/>
              <w:rPr>
                <w:rFonts w:ascii="Arial" w:eastAsia="Cambria" w:hAnsi="Arial" w:cs="Calibri"/>
                <w:bCs w:val="0"/>
                <w:sz w:val="16"/>
                <w:szCs w:val="26"/>
              </w:rPr>
            </w:pPr>
          </w:p>
          <w:p w:rsidR="00F201CA" w:rsidRDefault="00F201CA" w:rsidP="00C0735A">
            <w:pPr>
              <w:pStyle w:val="Titel"/>
              <w:rPr>
                <w:rFonts w:ascii="Arial" w:eastAsia="Cambria" w:hAnsi="Arial" w:cs="Calibri"/>
                <w:bCs w:val="0"/>
                <w:sz w:val="16"/>
                <w:szCs w:val="26"/>
              </w:rPr>
            </w:pPr>
          </w:p>
          <w:p w:rsidR="00F201CA" w:rsidRDefault="00F201CA" w:rsidP="00C0735A">
            <w:pPr>
              <w:pStyle w:val="Titel"/>
              <w:rPr>
                <w:rFonts w:ascii="Arial" w:eastAsia="Cambria" w:hAnsi="Arial" w:cs="Calibri"/>
                <w:bCs w:val="0"/>
                <w:sz w:val="16"/>
                <w:szCs w:val="26"/>
              </w:rPr>
            </w:pPr>
          </w:p>
          <w:p w:rsidR="00F201CA" w:rsidRDefault="00F201CA" w:rsidP="00C0735A">
            <w:pPr>
              <w:pStyle w:val="Titel"/>
              <w:rPr>
                <w:rFonts w:ascii="Arial" w:eastAsia="Cambria" w:hAnsi="Arial" w:cs="Calibri"/>
                <w:bCs w:val="0"/>
                <w:sz w:val="16"/>
                <w:szCs w:val="26"/>
              </w:rPr>
            </w:pPr>
          </w:p>
          <w:p w:rsidR="00F201CA" w:rsidRPr="005171F9" w:rsidRDefault="00F201CA" w:rsidP="00C0735A">
            <w:pPr>
              <w:pStyle w:val="Titel"/>
              <w:rPr>
                <w:rFonts w:ascii="Arial" w:eastAsia="Cambria" w:hAnsi="Arial" w:cs="Calibri"/>
                <w:bCs w:val="0"/>
                <w:sz w:val="16"/>
                <w:szCs w:val="26"/>
              </w:rPr>
            </w:pPr>
          </w:p>
          <w:p w:rsidR="00F201CA" w:rsidRPr="005171F9" w:rsidRDefault="00F201CA" w:rsidP="00C0735A">
            <w:pPr>
              <w:pStyle w:val="Titel"/>
              <w:rPr>
                <w:rFonts w:ascii="Arial" w:eastAsia="Cambria" w:hAnsi="Arial" w:cs="Calibri"/>
                <w:bCs w:val="0"/>
                <w:sz w:val="16"/>
                <w:szCs w:val="26"/>
              </w:rPr>
            </w:pPr>
          </w:p>
          <w:p w:rsidR="00F201CA" w:rsidRPr="004F17D4" w:rsidRDefault="00F201CA" w:rsidP="00C0735A">
            <w:pPr>
              <w:pStyle w:val="Titel"/>
              <w:rPr>
                <w:rFonts w:ascii="Arial" w:eastAsia="Cambria" w:hAnsi="Arial" w:cs="Calibri"/>
                <w:bCs w:val="0"/>
                <w:sz w:val="16"/>
                <w:szCs w:val="26"/>
                <w:lang w:val="en-US"/>
              </w:rPr>
            </w:pPr>
            <w:r>
              <w:rPr>
                <w:rFonts w:ascii="Arial" w:eastAsia="Cambria" w:hAnsi="Arial" w:cs="Calibri"/>
                <w:bCs w:val="0"/>
                <w:sz w:val="16"/>
                <w:szCs w:val="26"/>
                <w:lang w:val="en-US"/>
              </w:rPr>
              <w:t>Samuel Rentsch, CEO und Partner, IT-Logix AG</w:t>
            </w:r>
          </w:p>
        </w:tc>
      </w:tr>
    </w:tbl>
    <w:p w:rsidR="00F201CA" w:rsidRDefault="00F201CA" w:rsidP="00F201CA">
      <w:pPr>
        <w:spacing w:line="288" w:lineRule="auto"/>
        <w:ind w:right="-142"/>
        <w:rPr>
          <w:rFonts w:ascii="Helvetica" w:hAnsi="Helvetica"/>
          <w:sz w:val="20"/>
        </w:rPr>
      </w:pPr>
    </w:p>
    <w:p w:rsidR="00F201CA" w:rsidRPr="00565580" w:rsidRDefault="00F201CA" w:rsidP="00F201CA">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F201CA" w:rsidRPr="008B2D7C">
        <w:trPr>
          <w:trHeight w:val="73"/>
        </w:trPr>
        <w:tc>
          <w:tcPr>
            <w:tcW w:w="5315" w:type="dxa"/>
          </w:tcPr>
          <w:p w:rsidR="00F201CA" w:rsidRPr="00FE3471" w:rsidRDefault="00F201CA" w:rsidP="00C0735A">
            <w:pPr>
              <w:widowControl w:val="0"/>
              <w:adjustRightInd w:val="0"/>
              <w:spacing w:line="288" w:lineRule="auto"/>
              <w:rPr>
                <w:rFonts w:ascii="Helvetica" w:eastAsia="Times New Roman" w:hAnsi="Helvetica"/>
                <w:b/>
                <w:sz w:val="16"/>
              </w:rPr>
            </w:pPr>
            <w:r w:rsidRPr="00C4323A">
              <w:rPr>
                <w:rFonts w:ascii="Helvetica" w:eastAsia="Times New Roman" w:hAnsi="Helvetica"/>
                <w:sz w:val="16"/>
              </w:rPr>
              <w:br w:type="page"/>
            </w:r>
            <w:r w:rsidRPr="00FE3471">
              <w:rPr>
                <w:rFonts w:ascii="Helvetica" w:eastAsia="Times New Roman" w:hAnsi="Helvetica"/>
                <w:b/>
                <w:sz w:val="16"/>
              </w:rPr>
              <w:t>Weitere Informationen:</w:t>
            </w:r>
          </w:p>
          <w:p w:rsidR="00F201CA" w:rsidRDefault="00F201CA" w:rsidP="00C0735A">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F201CA" w:rsidRDefault="00F201CA" w:rsidP="00C0735A">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F201CA" w:rsidRDefault="00F201CA" w:rsidP="00C0735A">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F201CA" w:rsidRPr="00ED28D0" w:rsidRDefault="00511E5E" w:rsidP="00C0735A">
            <w:pPr>
              <w:widowControl w:val="0"/>
              <w:adjustRightInd w:val="0"/>
              <w:spacing w:line="288" w:lineRule="auto"/>
              <w:rPr>
                <w:rFonts w:ascii="Helvetica" w:eastAsia="Times New Roman" w:hAnsi="Helvetica"/>
                <w:sz w:val="16"/>
              </w:rPr>
            </w:pPr>
            <w:hyperlink r:id="rId6" w:history="1">
              <w:r w:rsidR="00F201CA" w:rsidRPr="00B111C4">
                <w:rPr>
                  <w:rFonts w:ascii="Helvetica" w:eastAsia="Times New Roman" w:hAnsi="Helvetica"/>
                  <w:sz w:val="16"/>
                </w:rPr>
                <w:t>contact@it-logix.ch</w:t>
              </w:r>
            </w:hyperlink>
            <w:r w:rsidR="00F201CA">
              <w:rPr>
                <w:rFonts w:ascii="Helvetica" w:eastAsia="Times New Roman" w:hAnsi="Helvetica"/>
                <w:sz w:val="16"/>
              </w:rPr>
              <w:t xml:space="preserve"> – www.it-logix.ch</w:t>
            </w:r>
          </w:p>
        </w:tc>
        <w:tc>
          <w:tcPr>
            <w:tcW w:w="4394" w:type="dxa"/>
          </w:tcPr>
          <w:p w:rsidR="00F201CA" w:rsidRPr="00E278EF" w:rsidRDefault="00F201CA" w:rsidP="00C0735A">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F201CA" w:rsidRPr="008253EF" w:rsidRDefault="00F201CA" w:rsidP="00C0735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F201CA" w:rsidRPr="008253EF" w:rsidRDefault="00F201CA" w:rsidP="00C0735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F201CA" w:rsidRPr="008253EF" w:rsidRDefault="00F201CA" w:rsidP="00C0735A">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F201CA" w:rsidRPr="008B2D7C" w:rsidRDefault="00511E5E" w:rsidP="00C0735A">
            <w:pPr>
              <w:widowControl w:val="0"/>
              <w:adjustRightInd w:val="0"/>
              <w:spacing w:line="288" w:lineRule="auto"/>
              <w:rPr>
                <w:rFonts w:ascii="Helvetica" w:eastAsia="Times New Roman" w:hAnsi="Helvetica"/>
                <w:sz w:val="16"/>
              </w:rPr>
            </w:pPr>
            <w:hyperlink r:id="rId7" w:history="1">
              <w:r w:rsidR="00F201CA" w:rsidRPr="00C4323A">
                <w:rPr>
                  <w:rFonts w:ascii="Helvetica" w:eastAsia="Times New Roman" w:hAnsi="Helvetica"/>
                  <w:sz w:val="16"/>
                </w:rPr>
                <w:t>mh@press-n-relations.ch</w:t>
              </w:r>
            </w:hyperlink>
            <w:r w:rsidR="00F201CA">
              <w:rPr>
                <w:rFonts w:ascii="Helvetica" w:eastAsia="Times New Roman" w:hAnsi="Helvetica"/>
                <w:sz w:val="16"/>
              </w:rPr>
              <w:t xml:space="preserve"> </w:t>
            </w:r>
            <w:r w:rsidR="00F201CA" w:rsidRPr="008253EF">
              <w:rPr>
                <w:rFonts w:ascii="Helvetica" w:eastAsia="Times New Roman" w:hAnsi="Helvetica"/>
                <w:sz w:val="16"/>
              </w:rPr>
              <w:t>– www.press-n-relations.ch</w:t>
            </w:r>
          </w:p>
        </w:tc>
      </w:tr>
    </w:tbl>
    <w:p w:rsidR="00F201CA" w:rsidRDefault="00F201CA" w:rsidP="00F201CA">
      <w:pPr>
        <w:spacing w:line="100" w:lineRule="atLeast"/>
        <w:rPr>
          <w:rFonts w:ascii="Helvetica" w:eastAsia="Times New Roman" w:hAnsi="Helvetica"/>
          <w:b/>
          <w:sz w:val="18"/>
        </w:rPr>
      </w:pPr>
    </w:p>
    <w:p w:rsidR="00F201CA" w:rsidRDefault="00F201CA" w:rsidP="00F201CA">
      <w:pPr>
        <w:spacing w:line="100" w:lineRule="atLeast"/>
        <w:rPr>
          <w:rFonts w:ascii="Helvetica" w:eastAsia="Times New Roman" w:hAnsi="Helvetica"/>
          <w:b/>
          <w:sz w:val="18"/>
        </w:rPr>
      </w:pPr>
      <w:r>
        <w:rPr>
          <w:rFonts w:ascii="Helvetica" w:eastAsia="Times New Roman" w:hAnsi="Helvetica"/>
          <w:b/>
          <w:sz w:val="18"/>
        </w:rPr>
        <w:t>Über IT-Logix</w:t>
      </w:r>
    </w:p>
    <w:p w:rsidR="00F201CA" w:rsidRPr="00FE702C" w:rsidRDefault="00F201CA" w:rsidP="00F201CA">
      <w:pPr>
        <w:spacing w:line="100" w:lineRule="atLeast"/>
        <w:rPr>
          <w:rFonts w:ascii="Helvetica" w:eastAsia="Times New Roman" w:hAnsi="Helvetica"/>
          <w:sz w:val="18"/>
        </w:rPr>
      </w:pPr>
      <w:r>
        <w:rPr>
          <w:rFonts w:ascii="Helvetica" w:eastAsia="Times New Roman" w:hAnsi="Helvetica"/>
          <w:sz w:val="18"/>
        </w:rPr>
        <w:t xml:space="preserve">Die </w:t>
      </w:r>
      <w:r w:rsidRPr="00FE702C">
        <w:rPr>
          <w:rFonts w:ascii="Helvetica" w:eastAsia="Times New Roman" w:hAnsi="Helvetica"/>
          <w:sz w:val="18"/>
        </w:rPr>
        <w:t>IT-Logix</w:t>
      </w:r>
      <w:r>
        <w:rPr>
          <w:rFonts w:ascii="Helvetica" w:eastAsia="Times New Roman" w:hAnsi="Helvetica"/>
          <w:sz w:val="18"/>
        </w:rPr>
        <w:t xml:space="preserve"> AG mit Standorten in Bern und Zürich</w:t>
      </w:r>
      <w:r w:rsidRPr="00FE702C">
        <w:rPr>
          <w:rFonts w:ascii="Helvetica" w:eastAsia="Times New Roman" w:hAnsi="Helvetica"/>
          <w:sz w:val="18"/>
        </w:rPr>
        <w:t xml:space="preserve">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hrender Werkzeuge. www.it-logix.ch</w:t>
      </w:r>
    </w:p>
    <w:p w:rsidR="00F201CA" w:rsidRPr="00FE702C" w:rsidRDefault="00F201CA" w:rsidP="00F201CA">
      <w:pPr>
        <w:spacing w:line="100" w:lineRule="atLeast"/>
        <w:rPr>
          <w:rFonts w:ascii="Helvetica" w:eastAsia="Times New Roman" w:hAnsi="Helvetica"/>
          <w:sz w:val="18"/>
        </w:rPr>
      </w:pPr>
    </w:p>
    <w:p w:rsidR="00F201CA" w:rsidRPr="00FE702C" w:rsidRDefault="00F201CA" w:rsidP="00F201CA">
      <w:pPr>
        <w:spacing w:line="100" w:lineRule="atLeast"/>
        <w:rPr>
          <w:rFonts w:ascii="Helvetica" w:eastAsia="Times New Roman" w:hAnsi="Helvetica"/>
          <w:sz w:val="18"/>
        </w:rPr>
      </w:pPr>
    </w:p>
    <w:p w:rsidR="00F201CA" w:rsidRDefault="00F201CA" w:rsidP="00F201CA"/>
    <w:p w:rsidR="00F201CA" w:rsidRDefault="00F201CA" w:rsidP="00F201CA"/>
    <w:p w:rsidR="00F201CA" w:rsidRDefault="00F201CA" w:rsidP="00F201CA"/>
    <w:p w:rsidR="00F201CA" w:rsidRDefault="00F201CA" w:rsidP="00F201CA"/>
    <w:p w:rsidR="00F201CA" w:rsidRDefault="00F201CA" w:rsidP="00F201CA"/>
    <w:p w:rsidR="00F201CA" w:rsidRDefault="00F201CA" w:rsidP="00F201CA"/>
    <w:p w:rsidR="00F201CA" w:rsidRDefault="00F201CA" w:rsidP="00F201CA"/>
    <w:p w:rsidR="00F201CA" w:rsidRDefault="00F201CA" w:rsidP="00F201CA"/>
    <w:p w:rsidR="00F201CA" w:rsidRDefault="00F201CA" w:rsidP="00F201CA"/>
    <w:p w:rsidR="00F201CA" w:rsidRDefault="00F201CA" w:rsidP="00F201CA"/>
    <w:p w:rsidR="00F201CA" w:rsidRDefault="00F201CA" w:rsidP="00F201CA"/>
    <w:p w:rsidR="00C0735A" w:rsidRDefault="00C0735A"/>
    <w:sectPr w:rsidR="00C0735A" w:rsidSect="00C0735A">
      <w:headerReference w:type="default" r:id="rId8"/>
      <w:pgSz w:w="11899" w:h="16838"/>
      <w:pgMar w:top="1418" w:right="3252"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C73" w:rsidRDefault="001B5C73">
    <w:pPr>
      <w:pStyle w:val="Kopfzeile"/>
      <w:tabs>
        <w:tab w:val="clear" w:pos="9072"/>
        <w:tab w:val="right" w:pos="9639"/>
      </w:tabs>
    </w:pPr>
    <w:r>
      <w:rPr>
        <w:noProof/>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3"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t xml:space="preserve">                                                                                           </w:t>
    </w:r>
  </w:p>
  <w:p w:rsidR="001B5C73" w:rsidRDefault="001B5C73" w:rsidP="00C0735A">
    <w:pPr>
      <w:pStyle w:val="Kopfzeile"/>
      <w:tabs>
        <w:tab w:val="clear" w:pos="9072"/>
        <w:tab w:val="left" w:pos="2000"/>
        <w:tab w:val="right" w:pos="9639"/>
      </w:tabs>
      <w:rPr>
        <w:noProof/>
      </w:rPr>
    </w:pPr>
    <w:r>
      <w:rPr>
        <w:noProof/>
      </w:rPr>
      <w:tab/>
    </w:r>
    <w:r>
      <w:rPr>
        <w:noProof/>
      </w:rPr>
      <w:tab/>
    </w:r>
  </w:p>
  <w:p w:rsidR="001B5C73" w:rsidRDefault="001B5C73">
    <w:pPr>
      <w:pStyle w:val="Kopfzeile"/>
      <w:tabs>
        <w:tab w:val="clear" w:pos="9072"/>
        <w:tab w:val="right" w:pos="9639"/>
      </w:tabs>
    </w:pPr>
    <w:r>
      <w:rPr>
        <w:noProof/>
      </w:rPr>
      <w:tab/>
      <w:t xml:space="preserve">  </w:t>
    </w:r>
  </w:p>
  <w:p w:rsidR="001B5C73" w:rsidRDefault="001B5C73">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0735A"/>
    <w:rsid w:val="000644AE"/>
    <w:rsid w:val="000835C7"/>
    <w:rsid w:val="000A02B0"/>
    <w:rsid w:val="000D3A86"/>
    <w:rsid w:val="001B5C73"/>
    <w:rsid w:val="00346CCC"/>
    <w:rsid w:val="00511E5E"/>
    <w:rsid w:val="0056337D"/>
    <w:rsid w:val="00736097"/>
    <w:rsid w:val="00753D6F"/>
    <w:rsid w:val="00A43A4C"/>
    <w:rsid w:val="00A653C7"/>
    <w:rsid w:val="00AF1DD1"/>
    <w:rsid w:val="00BE51F5"/>
    <w:rsid w:val="00BE5CA1"/>
    <w:rsid w:val="00C0735A"/>
    <w:rsid w:val="00C145AD"/>
    <w:rsid w:val="00C14A8F"/>
    <w:rsid w:val="00C45A94"/>
    <w:rsid w:val="00E22762"/>
    <w:rsid w:val="00F201C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0735A"/>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C0735A"/>
    <w:pPr>
      <w:tabs>
        <w:tab w:val="center" w:pos="4536"/>
        <w:tab w:val="right" w:pos="9072"/>
      </w:tabs>
    </w:pPr>
  </w:style>
  <w:style w:type="character" w:customStyle="1" w:styleId="KopfzeileZeichen">
    <w:name w:val="Kopfzeile Zeichen"/>
    <w:basedOn w:val="Absatzstandardschriftart"/>
    <w:link w:val="Kopfzeile"/>
    <w:rsid w:val="00C0735A"/>
    <w:rPr>
      <w:rFonts w:ascii="Times" w:eastAsia="Times" w:hAnsi="Times" w:cs="Times New Roman"/>
      <w:lang w:eastAsia="de-DE"/>
    </w:rPr>
  </w:style>
  <w:style w:type="paragraph" w:styleId="Titel">
    <w:name w:val="Title"/>
    <w:basedOn w:val="Standard"/>
    <w:link w:val="TitelZeichen"/>
    <w:qFormat/>
    <w:rsid w:val="00C0735A"/>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C0735A"/>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hyperlink" Target="mailto:contact@it-logix.ch" TargetMode="External"/><Relationship Id="rId7" Type="http://schemas.openxmlformats.org/officeDocument/2006/relationships/hyperlink" Target="mailto:mh@press-n-relations.ch"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pdf"/><Relationship Id="rId2"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3225</Characters>
  <Application>Microsoft Macintosh Word</Application>
  <DocSecurity>0</DocSecurity>
  <Lines>26</Lines>
  <Paragraphs>6</Paragraphs>
  <ScaleCrop>false</ScaleCrop>
  <Company>Press'n'Relations </Company>
  <LinksUpToDate>false</LinksUpToDate>
  <CharactersWithSpaces>3960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14</cp:revision>
  <cp:lastPrinted>2015-07-10T06:07:00Z</cp:lastPrinted>
  <dcterms:created xsi:type="dcterms:W3CDTF">2015-07-02T08:55:00Z</dcterms:created>
  <dcterms:modified xsi:type="dcterms:W3CDTF">2015-07-10T12:19:00Z</dcterms:modified>
</cp:coreProperties>
</file>